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2BF65" w14:textId="77777777" w:rsidR="00B83A2D" w:rsidRPr="00507CE3" w:rsidRDefault="00B83A2D" w:rsidP="00B83A2D">
      <w:pPr>
        <w:spacing w:after="0"/>
        <w:rPr>
          <w:b/>
          <w:bCs/>
          <w:sz w:val="22"/>
          <w:szCs w:val="22"/>
          <w:lang w:val="en-US"/>
        </w:rPr>
      </w:pPr>
      <w:r w:rsidRPr="00507CE3">
        <w:rPr>
          <w:b/>
          <w:bCs/>
          <w:sz w:val="22"/>
          <w:szCs w:val="22"/>
          <w:lang w:val="en-US"/>
        </w:rPr>
        <w:t>Subject</w:t>
      </w:r>
    </w:p>
    <w:p w14:paraId="6A052A2E" w14:textId="4549637D" w:rsidR="00B83A2D" w:rsidRPr="00507CE3" w:rsidRDefault="00490591" w:rsidP="00B83A2D">
      <w:pPr>
        <w:spacing w:after="0"/>
        <w:rPr>
          <w:sz w:val="22"/>
          <w:szCs w:val="22"/>
          <w:lang w:val="en-US"/>
        </w:rPr>
      </w:pPr>
      <w:r>
        <w:rPr>
          <w:sz w:val="22"/>
          <w:szCs w:val="22"/>
          <w:lang w:val="en-US"/>
        </w:rPr>
        <w:t xml:space="preserve">EU </w:t>
      </w:r>
      <w:r w:rsidR="00B83A2D">
        <w:rPr>
          <w:sz w:val="22"/>
          <w:szCs w:val="22"/>
          <w:lang w:val="en-US"/>
        </w:rPr>
        <w:t>Rule of Law 2026</w:t>
      </w:r>
    </w:p>
    <w:p w14:paraId="63301229" w14:textId="77777777" w:rsidR="00B83A2D" w:rsidRPr="00507CE3" w:rsidRDefault="00B83A2D" w:rsidP="00B83A2D">
      <w:pPr>
        <w:spacing w:after="0"/>
        <w:rPr>
          <w:sz w:val="22"/>
          <w:szCs w:val="22"/>
          <w:lang w:val="en-US"/>
        </w:rPr>
      </w:pPr>
      <w:r w:rsidRPr="00507CE3">
        <w:rPr>
          <w:sz w:val="22"/>
          <w:szCs w:val="22"/>
          <w:lang w:val="en-US"/>
        </w:rPr>
        <w:tab/>
      </w:r>
      <w:r w:rsidRPr="00507CE3">
        <w:rPr>
          <w:sz w:val="22"/>
          <w:szCs w:val="22"/>
          <w:lang w:val="en-US"/>
        </w:rPr>
        <w:tab/>
      </w:r>
      <w:r w:rsidRPr="00507CE3">
        <w:rPr>
          <w:sz w:val="22"/>
          <w:szCs w:val="22"/>
          <w:lang w:val="en-US"/>
        </w:rPr>
        <w:tab/>
      </w:r>
    </w:p>
    <w:p w14:paraId="46358B81" w14:textId="77777777" w:rsidR="00B83A2D" w:rsidRPr="00507CE3" w:rsidRDefault="00B83A2D" w:rsidP="00B83A2D">
      <w:pPr>
        <w:spacing w:after="0"/>
        <w:jc w:val="right"/>
        <w:rPr>
          <w:b/>
          <w:bCs/>
          <w:sz w:val="22"/>
          <w:szCs w:val="22"/>
          <w:lang w:val="en-US"/>
        </w:rPr>
      </w:pPr>
      <w:r w:rsidRPr="00507CE3">
        <w:rPr>
          <w:b/>
          <w:bCs/>
          <w:sz w:val="22"/>
          <w:szCs w:val="22"/>
          <w:lang w:val="en-US"/>
        </w:rPr>
        <w:t>Date</w:t>
      </w:r>
    </w:p>
    <w:p w14:paraId="0F35C130" w14:textId="77777777" w:rsidR="00B83A2D" w:rsidRPr="00507CE3" w:rsidRDefault="00B83A2D" w:rsidP="00B83A2D">
      <w:pPr>
        <w:spacing w:after="0"/>
        <w:jc w:val="right"/>
        <w:rPr>
          <w:sz w:val="22"/>
          <w:szCs w:val="22"/>
          <w:lang w:val="en-US"/>
        </w:rPr>
      </w:pPr>
      <w:r>
        <w:rPr>
          <w:sz w:val="22"/>
          <w:szCs w:val="22"/>
          <w:lang w:val="en-US"/>
        </w:rPr>
        <w:t>20</w:t>
      </w:r>
      <w:r w:rsidRPr="00B405E2">
        <w:rPr>
          <w:sz w:val="22"/>
          <w:szCs w:val="22"/>
          <w:vertAlign w:val="superscript"/>
          <w:lang w:val="en-US"/>
        </w:rPr>
        <w:t>th</w:t>
      </w:r>
      <w:r>
        <w:rPr>
          <w:sz w:val="22"/>
          <w:szCs w:val="22"/>
          <w:lang w:val="en-US"/>
        </w:rPr>
        <w:t xml:space="preserve"> of </w:t>
      </w:r>
      <w:proofErr w:type="gramStart"/>
      <w:r>
        <w:rPr>
          <w:sz w:val="22"/>
          <w:szCs w:val="22"/>
          <w:lang w:val="en-US"/>
        </w:rPr>
        <w:t>January</w:t>
      </w:r>
      <w:r w:rsidRPr="00507CE3">
        <w:rPr>
          <w:sz w:val="22"/>
          <w:szCs w:val="22"/>
          <w:lang w:val="en-US"/>
        </w:rPr>
        <w:t>,</w:t>
      </w:r>
      <w:proofErr w:type="gramEnd"/>
      <w:r w:rsidRPr="00507CE3">
        <w:rPr>
          <w:sz w:val="22"/>
          <w:szCs w:val="22"/>
          <w:lang w:val="en-US"/>
        </w:rPr>
        <w:t xml:space="preserve"> 202</w:t>
      </w:r>
      <w:r>
        <w:rPr>
          <w:sz w:val="22"/>
          <w:szCs w:val="22"/>
          <w:lang w:val="en-US"/>
        </w:rPr>
        <w:t>6</w:t>
      </w:r>
    </w:p>
    <w:p w14:paraId="1C410271" w14:textId="77777777" w:rsidR="00B83A2D" w:rsidRPr="00507CE3" w:rsidRDefault="00B83A2D" w:rsidP="00B83A2D">
      <w:pPr>
        <w:spacing w:after="0"/>
        <w:jc w:val="right"/>
        <w:rPr>
          <w:b/>
          <w:bCs/>
          <w:sz w:val="22"/>
          <w:szCs w:val="22"/>
          <w:lang w:val="en-US"/>
        </w:rPr>
      </w:pPr>
      <w:r w:rsidRPr="00507CE3">
        <w:rPr>
          <w:b/>
          <w:bCs/>
          <w:sz w:val="22"/>
          <w:szCs w:val="22"/>
          <w:lang w:val="en-US"/>
        </w:rPr>
        <w:t>Our reference</w:t>
      </w:r>
    </w:p>
    <w:p w14:paraId="05075EC7" w14:textId="77777777" w:rsidR="00B83A2D" w:rsidRPr="00507CE3" w:rsidRDefault="00B83A2D" w:rsidP="00B83A2D">
      <w:pPr>
        <w:spacing w:after="0"/>
        <w:jc w:val="right"/>
        <w:rPr>
          <w:sz w:val="22"/>
          <w:szCs w:val="22"/>
          <w:lang w:val="en-US"/>
        </w:rPr>
      </w:pPr>
      <w:r w:rsidRPr="00507CE3">
        <w:rPr>
          <w:sz w:val="22"/>
          <w:szCs w:val="22"/>
          <w:lang w:val="en-US"/>
        </w:rPr>
        <w:t>2025/EU/</w:t>
      </w:r>
      <w:r>
        <w:rPr>
          <w:sz w:val="22"/>
          <w:szCs w:val="22"/>
          <w:lang w:val="en-US"/>
        </w:rPr>
        <w:t>ROL</w:t>
      </w:r>
    </w:p>
    <w:p w14:paraId="06CBB4D7" w14:textId="77777777" w:rsidR="00B83A2D" w:rsidRPr="00507CE3" w:rsidRDefault="00B83A2D" w:rsidP="00B83A2D">
      <w:pPr>
        <w:spacing w:after="0"/>
        <w:jc w:val="right"/>
        <w:rPr>
          <w:sz w:val="22"/>
          <w:szCs w:val="22"/>
          <w:lang w:val="en-US"/>
        </w:rPr>
      </w:pPr>
    </w:p>
    <w:p w14:paraId="4FE54697" w14:textId="77777777" w:rsidR="00B83A2D" w:rsidRPr="00507CE3" w:rsidRDefault="00B83A2D" w:rsidP="00B83A2D">
      <w:pPr>
        <w:spacing w:after="0"/>
        <w:rPr>
          <w:sz w:val="22"/>
          <w:szCs w:val="22"/>
          <w:lang w:val="en-US"/>
        </w:rPr>
      </w:pPr>
      <w:r w:rsidRPr="00DC1374">
        <w:rPr>
          <w:sz w:val="22"/>
          <w:szCs w:val="22"/>
          <w:lang w:val="en-US"/>
        </w:rPr>
        <w:t>Dear European Commission,</w:t>
      </w:r>
    </w:p>
    <w:p w14:paraId="29D1E852" w14:textId="77777777" w:rsidR="00B83A2D" w:rsidRPr="00507CE3" w:rsidRDefault="00B83A2D" w:rsidP="00B83A2D">
      <w:pPr>
        <w:spacing w:after="0"/>
        <w:rPr>
          <w:sz w:val="22"/>
          <w:szCs w:val="22"/>
          <w:lang w:val="en-US"/>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AE9F7" w:themeFill="text2" w:themeFillTint="1A"/>
        <w:tblCellMar>
          <w:top w:w="227" w:type="dxa"/>
          <w:left w:w="227" w:type="dxa"/>
          <w:bottom w:w="227" w:type="dxa"/>
          <w:right w:w="227" w:type="dxa"/>
        </w:tblCellMar>
        <w:tblLook w:val="04A0" w:firstRow="1" w:lastRow="0" w:firstColumn="1" w:lastColumn="0" w:noHBand="0" w:noVBand="1"/>
      </w:tblPr>
      <w:tblGrid>
        <w:gridCol w:w="9062"/>
      </w:tblGrid>
      <w:tr w:rsidR="00B83A2D" w:rsidRPr="00DC1374" w14:paraId="2FA1A55D" w14:textId="77777777" w:rsidTr="00B83A2D">
        <w:trPr>
          <w:trHeight w:val="2934"/>
        </w:trPr>
        <w:tc>
          <w:tcPr>
            <w:tcW w:w="9062" w:type="dxa"/>
            <w:shd w:val="clear" w:color="auto" w:fill="DAE9F7" w:themeFill="text2" w:themeFillTint="1A"/>
          </w:tcPr>
          <w:p w14:paraId="74CA66FB" w14:textId="77777777" w:rsidR="00B83A2D" w:rsidRPr="00507CE3" w:rsidRDefault="00B83A2D" w:rsidP="00F722A6">
            <w:pPr>
              <w:pStyle w:val="BoldHeading"/>
              <w:rPr>
                <w:rFonts w:ascii="Aptos" w:hAnsi="Aptos"/>
                <w:b w:val="0"/>
                <w:bCs/>
                <w:sz w:val="22"/>
                <w:lang w:val="en-US"/>
              </w:rPr>
            </w:pPr>
            <w:r w:rsidRPr="00507CE3">
              <w:rPr>
                <w:rFonts w:ascii="Aptos" w:hAnsi="Aptos"/>
                <w:b w:val="0"/>
                <w:bCs/>
                <w:sz w:val="22"/>
                <w:lang w:val="en-US"/>
              </w:rPr>
              <w:t xml:space="preserve">On the </w:t>
            </w:r>
            <w:r>
              <w:rPr>
                <w:rFonts w:ascii="Aptos" w:hAnsi="Aptos"/>
                <w:b w:val="0"/>
                <w:bCs/>
                <w:sz w:val="22"/>
                <w:lang w:val="en-US"/>
              </w:rPr>
              <w:t>22</w:t>
            </w:r>
            <w:r w:rsidRPr="00E8559F">
              <w:rPr>
                <w:rFonts w:ascii="Aptos" w:hAnsi="Aptos"/>
                <w:b w:val="0"/>
                <w:bCs/>
                <w:sz w:val="22"/>
                <w:vertAlign w:val="superscript"/>
                <w:lang w:val="en-US"/>
              </w:rPr>
              <w:t>nd</w:t>
            </w:r>
            <w:r>
              <w:rPr>
                <w:rFonts w:ascii="Aptos" w:hAnsi="Aptos"/>
                <w:b w:val="0"/>
                <w:bCs/>
                <w:sz w:val="22"/>
                <w:lang w:val="en-US"/>
              </w:rPr>
              <w:t xml:space="preserve"> of January</w:t>
            </w:r>
            <w:r w:rsidRPr="00507CE3">
              <w:rPr>
                <w:rFonts w:ascii="Aptos" w:hAnsi="Aptos"/>
                <w:b w:val="0"/>
                <w:bCs/>
                <w:sz w:val="22"/>
                <w:lang w:val="en-US"/>
              </w:rPr>
              <w:t>, the</w:t>
            </w:r>
            <w:r>
              <w:rPr>
                <w:rFonts w:ascii="Aptos" w:hAnsi="Aptos"/>
                <w:b w:val="0"/>
                <w:bCs/>
                <w:sz w:val="22"/>
                <w:lang w:val="en-US"/>
              </w:rPr>
              <w:t xml:space="preserve"> input for the</w:t>
            </w:r>
            <w:r w:rsidRPr="00507CE3">
              <w:rPr>
                <w:rFonts w:ascii="Aptos" w:hAnsi="Aptos"/>
                <w:b w:val="0"/>
                <w:bCs/>
                <w:sz w:val="22"/>
                <w:lang w:val="en-US"/>
              </w:rPr>
              <w:t xml:space="preserve"> </w:t>
            </w:r>
            <w:r w:rsidRPr="00507CE3">
              <w:rPr>
                <w:rFonts w:ascii="Aptos" w:hAnsi="Aptos"/>
                <w:b w:val="0"/>
                <w:bCs/>
                <w:i/>
                <w:iCs/>
                <w:sz w:val="22"/>
                <w:lang w:val="en-US"/>
              </w:rPr>
              <w:t xml:space="preserve">EU </w:t>
            </w:r>
            <w:r>
              <w:rPr>
                <w:rFonts w:ascii="Aptos" w:hAnsi="Aptos"/>
                <w:b w:val="0"/>
                <w:bCs/>
                <w:i/>
                <w:iCs/>
                <w:sz w:val="22"/>
                <w:lang w:val="en-US"/>
              </w:rPr>
              <w:t>Rule of Law</w:t>
            </w:r>
            <w:r w:rsidRPr="00507CE3">
              <w:rPr>
                <w:rFonts w:ascii="Aptos" w:hAnsi="Aptos"/>
                <w:b w:val="0"/>
                <w:bCs/>
                <w:i/>
                <w:iCs/>
                <w:sz w:val="22"/>
                <w:lang w:val="en-US"/>
              </w:rPr>
              <w:t xml:space="preserve"> </w:t>
            </w:r>
            <w:r>
              <w:rPr>
                <w:rFonts w:ascii="Aptos" w:hAnsi="Aptos"/>
                <w:b w:val="0"/>
                <w:bCs/>
                <w:sz w:val="22"/>
                <w:lang w:val="en-US"/>
              </w:rPr>
              <w:t>must be submitted</w:t>
            </w:r>
            <w:r w:rsidRPr="00507CE3">
              <w:rPr>
                <w:rFonts w:ascii="Aptos" w:hAnsi="Aptos"/>
                <w:b w:val="0"/>
                <w:bCs/>
                <w:sz w:val="22"/>
                <w:lang w:val="en-US"/>
              </w:rPr>
              <w:t>. Goede Doelen Nederland, the Dutch branch association of</w:t>
            </w:r>
            <w:r>
              <w:rPr>
                <w:rFonts w:ascii="Aptos" w:hAnsi="Aptos"/>
                <w:b w:val="0"/>
                <w:bCs/>
                <w:sz w:val="22"/>
                <w:lang w:val="en-US"/>
              </w:rPr>
              <w:t xml:space="preserve"> over</w:t>
            </w:r>
            <w:r w:rsidRPr="00507CE3">
              <w:rPr>
                <w:rFonts w:ascii="Aptos" w:hAnsi="Aptos"/>
                <w:b w:val="0"/>
                <w:bCs/>
                <w:sz w:val="22"/>
                <w:lang w:val="en-US"/>
              </w:rPr>
              <w:t xml:space="preserve"> 3</w:t>
            </w:r>
            <w:r>
              <w:rPr>
                <w:rFonts w:ascii="Aptos" w:hAnsi="Aptos"/>
                <w:b w:val="0"/>
                <w:bCs/>
                <w:sz w:val="22"/>
                <w:lang w:val="en-US"/>
              </w:rPr>
              <w:t>1</w:t>
            </w:r>
            <w:r w:rsidRPr="00507CE3">
              <w:rPr>
                <w:rFonts w:ascii="Aptos" w:hAnsi="Aptos"/>
                <w:b w:val="0"/>
                <w:bCs/>
                <w:sz w:val="22"/>
                <w:lang w:val="en-US"/>
              </w:rPr>
              <w:t xml:space="preserve">0 civil society organizations (CSOs), shares its position regarding the EU </w:t>
            </w:r>
            <w:r>
              <w:rPr>
                <w:rFonts w:ascii="Aptos" w:hAnsi="Aptos"/>
                <w:b w:val="0"/>
                <w:bCs/>
                <w:sz w:val="22"/>
                <w:lang w:val="en-US"/>
              </w:rPr>
              <w:t>Rule of Law</w:t>
            </w:r>
            <w:r w:rsidRPr="00507CE3">
              <w:rPr>
                <w:rFonts w:ascii="Aptos" w:hAnsi="Aptos"/>
                <w:b w:val="0"/>
                <w:bCs/>
                <w:sz w:val="22"/>
                <w:lang w:val="en-US"/>
              </w:rPr>
              <w:t>.</w:t>
            </w:r>
          </w:p>
          <w:p w14:paraId="13DD992E" w14:textId="77777777" w:rsidR="00B83A2D" w:rsidRPr="00B83A2D" w:rsidRDefault="00B83A2D" w:rsidP="00F722A6">
            <w:pPr>
              <w:rPr>
                <w:b/>
                <w:bCs/>
                <w:sz w:val="22"/>
                <w:szCs w:val="22"/>
                <w:lang w:val="en-US"/>
              </w:rPr>
            </w:pPr>
          </w:p>
          <w:p w14:paraId="374A4610" w14:textId="77777777" w:rsidR="00B83A2D" w:rsidRPr="00A562EF" w:rsidRDefault="00B83A2D" w:rsidP="00F722A6">
            <w:pPr>
              <w:rPr>
                <w:b/>
                <w:bCs/>
                <w:sz w:val="22"/>
                <w:szCs w:val="22"/>
                <w:highlight w:val="yellow"/>
              </w:rPr>
            </w:pPr>
            <w:r w:rsidRPr="00A562EF">
              <w:rPr>
                <w:b/>
                <w:bCs/>
                <w:sz w:val="22"/>
                <w:szCs w:val="22"/>
              </w:rPr>
              <w:t xml:space="preserve">The </w:t>
            </w:r>
            <w:proofErr w:type="spellStart"/>
            <w:r w:rsidRPr="00A562EF">
              <w:rPr>
                <w:b/>
                <w:bCs/>
                <w:sz w:val="22"/>
                <w:szCs w:val="22"/>
              </w:rPr>
              <w:t>position</w:t>
            </w:r>
            <w:proofErr w:type="spellEnd"/>
            <w:r w:rsidRPr="00A562EF">
              <w:rPr>
                <w:b/>
                <w:bCs/>
                <w:sz w:val="22"/>
                <w:szCs w:val="22"/>
              </w:rPr>
              <w:t xml:space="preserve"> of Goede Doelen Nederland:</w:t>
            </w:r>
          </w:p>
          <w:p w14:paraId="376EB12D" w14:textId="77777777" w:rsidR="00B83A2D" w:rsidRPr="00143811" w:rsidRDefault="00B83A2D" w:rsidP="00B83A2D">
            <w:pPr>
              <w:pStyle w:val="Lijstalinea"/>
              <w:numPr>
                <w:ilvl w:val="0"/>
                <w:numId w:val="1"/>
              </w:numPr>
              <w:rPr>
                <w:sz w:val="22"/>
                <w:szCs w:val="22"/>
                <w:lang w:val="en-GB"/>
              </w:rPr>
            </w:pPr>
            <w:r w:rsidRPr="00143811">
              <w:rPr>
                <w:sz w:val="22"/>
                <w:szCs w:val="22"/>
                <w:lang w:val="en-GB"/>
              </w:rPr>
              <w:t>Although (national and European) general measures, particularly in the areas of consumer protection, transparency obligations, anti-money laundering and anti-terrorist financing, serve an important purpose and are not primarily intended to hinder the work of civil society organisations (CSOs), they have undesirable consequences for the CSO sector. This has a negative impact on income and thus on the contribution that CSOs make to society.</w:t>
            </w:r>
          </w:p>
          <w:p w14:paraId="2C8FCB43" w14:textId="77777777" w:rsidR="00B83A2D" w:rsidRPr="00143811" w:rsidRDefault="00B83A2D" w:rsidP="00B83A2D">
            <w:pPr>
              <w:pStyle w:val="Lijstalinea"/>
              <w:numPr>
                <w:ilvl w:val="0"/>
                <w:numId w:val="1"/>
              </w:numPr>
              <w:rPr>
                <w:sz w:val="22"/>
                <w:szCs w:val="22"/>
                <w:lang w:val="en-GB"/>
              </w:rPr>
            </w:pPr>
            <w:r w:rsidRPr="00143811">
              <w:rPr>
                <w:sz w:val="22"/>
                <w:szCs w:val="22"/>
                <w:lang w:val="en-GB"/>
              </w:rPr>
              <w:t>CSOs play an important role in promoting a pluralistic, social, healthy and just society. Every year, millions of Dutch people actively commit their time, money and energy to protecting, promoting and improving the public good. The success of CSOs' work goes hand in hand with the trust of donors and society. CSOs are largely dependent on these donors to achieve their objectives. They occupy a special position and must always be able to ask the public for help and support without barriers or have access to social payment transactions. After all, they do not do this for themselves but for society. The non-profit nature of CSOs ensures that they focus primarily on their valuable contribution to society. Unlike commercial parties, they are not profit-oriented.</w:t>
            </w:r>
          </w:p>
          <w:p w14:paraId="2375A0DC" w14:textId="560991DB" w:rsidR="00B83A2D" w:rsidRPr="00143811" w:rsidRDefault="00B83A2D" w:rsidP="00B83A2D">
            <w:pPr>
              <w:pStyle w:val="Lijstalinea"/>
              <w:numPr>
                <w:ilvl w:val="0"/>
                <w:numId w:val="1"/>
              </w:numPr>
              <w:rPr>
                <w:sz w:val="22"/>
                <w:szCs w:val="22"/>
                <w:lang w:val="en-GB"/>
              </w:rPr>
            </w:pPr>
            <w:r w:rsidRPr="00143811">
              <w:rPr>
                <w:sz w:val="22"/>
                <w:szCs w:val="22"/>
                <w:lang w:val="en-GB"/>
              </w:rPr>
              <w:t>At present, legislation affecting CSOs – both nationally and at European level – does not sufficient</w:t>
            </w:r>
            <w:r w:rsidR="00BD3F3A">
              <w:rPr>
                <w:sz w:val="22"/>
                <w:szCs w:val="22"/>
                <w:lang w:val="en-GB"/>
              </w:rPr>
              <w:t xml:space="preserve">ly </w:t>
            </w:r>
            <w:proofErr w:type="gramStart"/>
            <w:r w:rsidR="00BD3F3A">
              <w:rPr>
                <w:sz w:val="22"/>
                <w:szCs w:val="22"/>
                <w:lang w:val="en-GB"/>
              </w:rPr>
              <w:t>take into</w:t>
            </w:r>
            <w:r w:rsidRPr="00143811">
              <w:rPr>
                <w:sz w:val="22"/>
                <w:szCs w:val="22"/>
                <w:lang w:val="en-GB"/>
              </w:rPr>
              <w:t xml:space="preserve"> account</w:t>
            </w:r>
            <w:proofErr w:type="gramEnd"/>
            <w:r w:rsidRPr="00143811">
              <w:rPr>
                <w:sz w:val="22"/>
                <w:szCs w:val="22"/>
                <w:lang w:val="en-GB"/>
              </w:rPr>
              <w:t xml:space="preserve"> of the (specific) interests of CSOs. We </w:t>
            </w:r>
            <w:r w:rsidR="00EF3F74">
              <w:rPr>
                <w:sz w:val="22"/>
                <w:szCs w:val="22"/>
                <w:lang w:val="en-GB"/>
              </w:rPr>
              <w:t xml:space="preserve">therefore </w:t>
            </w:r>
            <w:r w:rsidRPr="00143811">
              <w:rPr>
                <w:sz w:val="22"/>
                <w:szCs w:val="22"/>
                <w:lang w:val="en-GB"/>
              </w:rPr>
              <w:t xml:space="preserve">advocate careful consideration of interests, with explicit consideration being given to the fundamental rights and freedoms of small, medium-sized and large non-profit organisations when new legislation is being drafted. </w:t>
            </w:r>
          </w:p>
          <w:p w14:paraId="72A8D164" w14:textId="77777777" w:rsidR="00B83A2D" w:rsidRPr="00507CE3" w:rsidRDefault="00B83A2D" w:rsidP="00F722A6">
            <w:pPr>
              <w:rPr>
                <w:sz w:val="22"/>
                <w:szCs w:val="22"/>
                <w:lang w:val="en-US"/>
              </w:rPr>
            </w:pPr>
          </w:p>
          <w:p w14:paraId="5175CF61" w14:textId="77777777" w:rsidR="00B83A2D" w:rsidRPr="00507CE3" w:rsidRDefault="00B83A2D" w:rsidP="00F722A6">
            <w:pPr>
              <w:rPr>
                <w:i/>
                <w:iCs/>
                <w:sz w:val="22"/>
                <w:szCs w:val="22"/>
                <w:lang w:val="en-US"/>
              </w:rPr>
            </w:pPr>
            <w:r w:rsidRPr="00507CE3">
              <w:rPr>
                <w:i/>
                <w:iCs/>
                <w:sz w:val="22"/>
                <w:szCs w:val="22"/>
                <w:lang w:val="en-US"/>
              </w:rPr>
              <w:t>For further elaboration, find more information below.</w:t>
            </w:r>
          </w:p>
        </w:tc>
      </w:tr>
    </w:tbl>
    <w:p w14:paraId="370745E1" w14:textId="77777777" w:rsidR="00AD03BE" w:rsidRPr="00F90F53" w:rsidRDefault="00AD03BE" w:rsidP="007E77E7">
      <w:pPr>
        <w:spacing w:after="0"/>
        <w:rPr>
          <w:lang w:val="en-US"/>
        </w:rPr>
      </w:pPr>
    </w:p>
    <w:p w14:paraId="2550555E" w14:textId="4AAC7E33" w:rsidR="000F2EB6" w:rsidRPr="00D75F50" w:rsidRDefault="000F2EB6" w:rsidP="007E77E7">
      <w:pPr>
        <w:spacing w:after="0"/>
        <w:rPr>
          <w:b/>
          <w:bCs/>
          <w:sz w:val="32"/>
          <w:szCs w:val="32"/>
          <w:lang w:val="en-GB"/>
        </w:rPr>
      </w:pPr>
      <w:r w:rsidRPr="00D75F50">
        <w:rPr>
          <w:b/>
          <w:bCs/>
          <w:sz w:val="32"/>
          <w:szCs w:val="32"/>
          <w:lang w:val="en-GB"/>
        </w:rPr>
        <w:t>Consumer Agenda</w:t>
      </w:r>
    </w:p>
    <w:p w14:paraId="0F9C8D40" w14:textId="5E6CCBCD" w:rsidR="004B3952" w:rsidRPr="004B3952" w:rsidRDefault="004B3952" w:rsidP="007E77E7">
      <w:pPr>
        <w:spacing w:after="0"/>
        <w:rPr>
          <w:b/>
          <w:bCs/>
          <w:i/>
          <w:iCs/>
          <w:sz w:val="22"/>
          <w:szCs w:val="22"/>
          <w:lang w:val="en-GB"/>
        </w:rPr>
      </w:pPr>
      <w:r w:rsidRPr="004B3952">
        <w:rPr>
          <w:b/>
          <w:bCs/>
          <w:i/>
          <w:iCs/>
          <w:sz w:val="22"/>
          <w:szCs w:val="22"/>
          <w:lang w:val="en-GB"/>
        </w:rPr>
        <w:t>Introduction</w:t>
      </w:r>
    </w:p>
    <w:p w14:paraId="6EA328DA" w14:textId="77777777" w:rsidR="007131E2" w:rsidRDefault="000F2EB6" w:rsidP="007E77E7">
      <w:pPr>
        <w:spacing w:after="0"/>
        <w:rPr>
          <w:lang w:val="en-GB"/>
        </w:rPr>
      </w:pPr>
      <w:r w:rsidRPr="000F2EB6">
        <w:rPr>
          <w:lang w:val="en-GB"/>
        </w:rPr>
        <w:t>The Ministry of Economic Affairs has already presented various gener</w:t>
      </w:r>
      <w:r w:rsidR="00C72345">
        <w:rPr>
          <w:lang w:val="en-GB"/>
        </w:rPr>
        <w:t>al</w:t>
      </w:r>
      <w:r w:rsidRPr="000F2EB6">
        <w:rPr>
          <w:lang w:val="en-GB"/>
        </w:rPr>
        <w:t xml:space="preserve"> measures within the framework of the Consumer Agenda (the EU agenda sets national frameworks and guidelines) with negative consequences for </w:t>
      </w:r>
      <w:r w:rsidR="00C51DB3">
        <w:rPr>
          <w:lang w:val="en-GB"/>
        </w:rPr>
        <w:t>CSOs</w:t>
      </w:r>
      <w:r w:rsidRPr="000F2EB6">
        <w:rPr>
          <w:lang w:val="en-GB"/>
        </w:rPr>
        <w:t>. Within the Dutch consumer agenda, we see a tension between the gener</w:t>
      </w:r>
      <w:r w:rsidR="00374247">
        <w:rPr>
          <w:lang w:val="en-GB"/>
        </w:rPr>
        <w:t>al</w:t>
      </w:r>
      <w:r w:rsidRPr="000F2EB6">
        <w:rPr>
          <w:lang w:val="en-GB"/>
        </w:rPr>
        <w:t xml:space="preserve"> measures proposed by the Ministry of Economic Affairs and the special position of </w:t>
      </w:r>
      <w:r w:rsidR="008E6F87">
        <w:rPr>
          <w:lang w:val="en-GB"/>
        </w:rPr>
        <w:t>CSOs</w:t>
      </w:r>
      <w:r w:rsidRPr="000F2EB6">
        <w:rPr>
          <w:lang w:val="en-GB"/>
        </w:rPr>
        <w:t xml:space="preserve">. </w:t>
      </w:r>
    </w:p>
    <w:p w14:paraId="6AA6B998" w14:textId="77777777" w:rsidR="007131E2" w:rsidRDefault="007131E2" w:rsidP="007E77E7">
      <w:pPr>
        <w:spacing w:after="0"/>
        <w:rPr>
          <w:lang w:val="en-GB"/>
        </w:rPr>
      </w:pPr>
    </w:p>
    <w:p w14:paraId="56DEF346" w14:textId="1ADC0C8C" w:rsidR="005232D6" w:rsidRDefault="000F2EB6" w:rsidP="007E77E7">
      <w:pPr>
        <w:spacing w:after="0"/>
        <w:rPr>
          <w:lang w:val="en-GB"/>
        </w:rPr>
      </w:pPr>
      <w:r w:rsidRPr="000F2EB6">
        <w:rPr>
          <w:lang w:val="en-GB"/>
        </w:rPr>
        <w:t>Both Goede Doelen Nederland</w:t>
      </w:r>
      <w:r w:rsidR="008E6F87">
        <w:rPr>
          <w:lang w:val="en-GB"/>
        </w:rPr>
        <w:t xml:space="preserve"> </w:t>
      </w:r>
      <w:r w:rsidRPr="000F2EB6">
        <w:rPr>
          <w:lang w:val="en-GB"/>
        </w:rPr>
        <w:t xml:space="preserve">and </w:t>
      </w:r>
      <w:r w:rsidR="00295C01">
        <w:rPr>
          <w:lang w:val="en-GB"/>
        </w:rPr>
        <w:t xml:space="preserve">a majority in Dutch parliament </w:t>
      </w:r>
      <w:r w:rsidRPr="000F2EB6">
        <w:rPr>
          <w:lang w:val="en-GB"/>
        </w:rPr>
        <w:t xml:space="preserve">are calling for an exception for </w:t>
      </w:r>
      <w:r w:rsidR="000A3482">
        <w:rPr>
          <w:lang w:val="en-GB"/>
        </w:rPr>
        <w:t>CSOs</w:t>
      </w:r>
      <w:r w:rsidRPr="000F2EB6">
        <w:rPr>
          <w:lang w:val="en-GB"/>
        </w:rPr>
        <w:t xml:space="preserve"> in telemarketing and door-to-door sales. </w:t>
      </w:r>
      <w:r w:rsidR="00122BC9" w:rsidRPr="00122BC9">
        <w:rPr>
          <w:lang w:val="en-GB"/>
        </w:rPr>
        <w:t xml:space="preserve">The position of Goede Doelen Nederland is that </w:t>
      </w:r>
      <w:r w:rsidR="000A3482">
        <w:rPr>
          <w:lang w:val="en-GB"/>
        </w:rPr>
        <w:t>CSOs</w:t>
      </w:r>
      <w:r w:rsidR="00122BC9" w:rsidRPr="00122BC9">
        <w:rPr>
          <w:lang w:val="en-GB"/>
        </w:rPr>
        <w:t xml:space="preserve">, unlike commercial parties, have a social purpose without a profit motive. They must be able to approach their donors and supporters for support and assistance without unnecessary restrictions. After all, they do not do this for themselves, but to stand up for the most vulnerable in society, provide emergency aid, fund research into diseases or combat loneliness, for example. </w:t>
      </w:r>
    </w:p>
    <w:p w14:paraId="03DB9B28" w14:textId="77777777" w:rsidR="005232D6" w:rsidRDefault="005232D6" w:rsidP="007E77E7">
      <w:pPr>
        <w:spacing w:after="0"/>
        <w:rPr>
          <w:lang w:val="en-GB"/>
        </w:rPr>
      </w:pPr>
    </w:p>
    <w:p w14:paraId="32B0B37A" w14:textId="42279713" w:rsidR="00122BC9" w:rsidRPr="00122BC9" w:rsidRDefault="00122BC9" w:rsidP="007E77E7">
      <w:pPr>
        <w:spacing w:after="0"/>
        <w:rPr>
          <w:lang w:val="en-GB"/>
        </w:rPr>
      </w:pPr>
      <w:r w:rsidRPr="00122BC9">
        <w:rPr>
          <w:lang w:val="en-GB"/>
        </w:rPr>
        <w:t xml:space="preserve">Donations to </w:t>
      </w:r>
      <w:r w:rsidR="00781A70">
        <w:rPr>
          <w:lang w:val="en-GB"/>
        </w:rPr>
        <w:t>CS</w:t>
      </w:r>
      <w:r w:rsidR="000468B4">
        <w:rPr>
          <w:lang w:val="en-GB"/>
        </w:rPr>
        <w:t>Os</w:t>
      </w:r>
      <w:r w:rsidR="00FA592A">
        <w:rPr>
          <w:lang w:val="en-GB"/>
        </w:rPr>
        <w:t xml:space="preserve"> </w:t>
      </w:r>
      <w:r w:rsidRPr="00122BC9">
        <w:rPr>
          <w:lang w:val="en-GB"/>
        </w:rPr>
        <w:t xml:space="preserve">are agreements without consideration and are therefore not covered by the relevant European directives, such as Directive 2011/83/EU on consumer rights, and national legislation on traders and the sale of commercial services or products. </w:t>
      </w:r>
    </w:p>
    <w:p w14:paraId="4B8F8030" w14:textId="77777777" w:rsidR="007E77E7" w:rsidRDefault="007E77E7" w:rsidP="007E77E7">
      <w:pPr>
        <w:spacing w:after="0"/>
        <w:rPr>
          <w:b/>
          <w:bCs/>
          <w:lang w:val="en-GB"/>
        </w:rPr>
      </w:pPr>
    </w:p>
    <w:p w14:paraId="3FE21561" w14:textId="20E35062" w:rsidR="00122BC9" w:rsidRPr="00122BC9" w:rsidRDefault="00122BC9" w:rsidP="007E77E7">
      <w:pPr>
        <w:spacing w:after="0"/>
        <w:rPr>
          <w:b/>
          <w:bCs/>
          <w:lang w:val="en-GB"/>
        </w:rPr>
      </w:pPr>
      <w:r w:rsidRPr="00122BC9">
        <w:rPr>
          <w:b/>
          <w:bCs/>
          <w:lang w:val="en-GB"/>
        </w:rPr>
        <w:t>National Consumer Agenda</w:t>
      </w:r>
    </w:p>
    <w:p w14:paraId="44D74DAE" w14:textId="675D7125" w:rsidR="00122BC9" w:rsidRDefault="00122BC9" w:rsidP="007E77E7">
      <w:pPr>
        <w:spacing w:after="0"/>
        <w:rPr>
          <w:lang w:val="en-GB"/>
        </w:rPr>
      </w:pPr>
      <w:r w:rsidRPr="00122BC9">
        <w:rPr>
          <w:lang w:val="en-GB"/>
        </w:rPr>
        <w:t>The</w:t>
      </w:r>
      <w:r w:rsidR="005232D6">
        <w:rPr>
          <w:lang w:val="en-GB"/>
        </w:rPr>
        <w:t xml:space="preserve"> Ministry of Economic Affairs</w:t>
      </w:r>
      <w:r w:rsidRPr="00122BC9">
        <w:rPr>
          <w:lang w:val="en-GB"/>
        </w:rPr>
        <w:t xml:space="preserve"> has already presented several proposals as part of the consumer agenda that would have negative consequences for </w:t>
      </w:r>
      <w:r w:rsidR="00746D3A">
        <w:rPr>
          <w:lang w:val="en-GB"/>
        </w:rPr>
        <w:t>CSOs</w:t>
      </w:r>
      <w:r w:rsidRPr="00122BC9">
        <w:rPr>
          <w:lang w:val="en-GB"/>
        </w:rPr>
        <w:t>. This consumer agenda aims to improve consumer protection in distance contracts and contracts concluded outside sales premises.</w:t>
      </w:r>
    </w:p>
    <w:p w14:paraId="7057F888" w14:textId="77777777" w:rsidR="00874D6A" w:rsidRPr="000F2EB6" w:rsidRDefault="00874D6A" w:rsidP="007E77E7">
      <w:pPr>
        <w:spacing w:after="0"/>
        <w:rPr>
          <w:lang w:val="en-GB"/>
        </w:rPr>
      </w:pPr>
    </w:p>
    <w:p w14:paraId="1A2E6647" w14:textId="7C10E9BF" w:rsidR="00844B2C" w:rsidRDefault="00A77112" w:rsidP="007E77E7">
      <w:pPr>
        <w:spacing w:after="0"/>
        <w:rPr>
          <w:lang w:val="en-GB"/>
        </w:rPr>
      </w:pPr>
      <w:r w:rsidRPr="00A77112">
        <w:rPr>
          <w:lang w:val="en-GB"/>
        </w:rPr>
        <w:t xml:space="preserve">On 22 April 2024, the Ministry of Economic Affairs announced its proposed policy in the context of the Consumer Agenda. It intends to introduce </w:t>
      </w:r>
      <w:r w:rsidRPr="00874D6A">
        <w:rPr>
          <w:u w:val="single"/>
          <w:lang w:val="en-GB"/>
        </w:rPr>
        <w:t>gener</w:t>
      </w:r>
      <w:r w:rsidR="007D752B" w:rsidRPr="00874D6A">
        <w:rPr>
          <w:u w:val="single"/>
          <w:lang w:val="en-GB"/>
        </w:rPr>
        <w:t>al</w:t>
      </w:r>
      <w:r w:rsidRPr="00874D6A">
        <w:rPr>
          <w:u w:val="single"/>
          <w:lang w:val="en-GB"/>
        </w:rPr>
        <w:t xml:space="preserve"> measures</w:t>
      </w:r>
      <w:r w:rsidRPr="00A77112">
        <w:rPr>
          <w:lang w:val="en-GB"/>
        </w:rPr>
        <w:t xml:space="preserve"> with a mandatory cooling-off period of three days for door-to-door sales and a ban on calling based on customer relationships in telemarketing. </w:t>
      </w:r>
    </w:p>
    <w:p w14:paraId="1E82EFBA" w14:textId="77777777" w:rsidR="007E77E7" w:rsidRDefault="007E77E7" w:rsidP="007E77E7">
      <w:pPr>
        <w:spacing w:after="0"/>
        <w:rPr>
          <w:b/>
          <w:bCs/>
          <w:i/>
          <w:iCs/>
          <w:sz w:val="22"/>
          <w:szCs w:val="22"/>
          <w:lang w:val="en-GB"/>
        </w:rPr>
      </w:pPr>
    </w:p>
    <w:p w14:paraId="6936DC04" w14:textId="09C32584" w:rsidR="00A77112" w:rsidRPr="00E56E03" w:rsidRDefault="00A77112" w:rsidP="007E77E7">
      <w:pPr>
        <w:spacing w:after="0"/>
        <w:rPr>
          <w:b/>
          <w:bCs/>
          <w:i/>
          <w:iCs/>
          <w:sz w:val="22"/>
          <w:szCs w:val="22"/>
          <w:lang w:val="en-GB"/>
        </w:rPr>
      </w:pPr>
      <w:r w:rsidRPr="00E56E03">
        <w:rPr>
          <w:b/>
          <w:bCs/>
          <w:i/>
          <w:iCs/>
          <w:sz w:val="22"/>
          <w:szCs w:val="22"/>
          <w:lang w:val="en-GB"/>
        </w:rPr>
        <w:t>Telemarketing</w:t>
      </w:r>
    </w:p>
    <w:p w14:paraId="78FE8EF1" w14:textId="2C53A5A7" w:rsidR="000F2EB6" w:rsidRPr="00B14158" w:rsidRDefault="00C1418E" w:rsidP="007E77E7">
      <w:pPr>
        <w:spacing w:after="0"/>
        <w:rPr>
          <w:sz w:val="22"/>
          <w:szCs w:val="22"/>
          <w:lang w:val="en-GB"/>
        </w:rPr>
      </w:pPr>
      <w:r w:rsidRPr="00C1418E">
        <w:rPr>
          <w:sz w:val="22"/>
          <w:szCs w:val="22"/>
          <w:lang w:val="en-GB"/>
        </w:rPr>
        <w:t xml:space="preserve">However, the Senate and House of Representatives have strongly advocated for an exception for </w:t>
      </w:r>
      <w:r w:rsidR="006D1233">
        <w:rPr>
          <w:sz w:val="22"/>
          <w:szCs w:val="22"/>
          <w:lang w:val="en-GB"/>
        </w:rPr>
        <w:t>CSOs</w:t>
      </w:r>
      <w:r w:rsidRPr="00C1418E">
        <w:rPr>
          <w:sz w:val="22"/>
          <w:szCs w:val="22"/>
          <w:lang w:val="en-GB"/>
        </w:rPr>
        <w:t xml:space="preserve">.  </w:t>
      </w:r>
      <w:r w:rsidR="00A77112" w:rsidRPr="00B14158">
        <w:rPr>
          <w:sz w:val="22"/>
          <w:szCs w:val="22"/>
          <w:lang w:val="en-GB"/>
        </w:rPr>
        <w:t>During the committee debate on the Energy Act in June 2024, the House of Representatives unanimously adopted the SGP amendment Flach</w:t>
      </w:r>
      <w:r w:rsidR="00CB0F3F">
        <w:rPr>
          <w:rStyle w:val="Voetnootmarkering"/>
          <w:sz w:val="22"/>
          <w:szCs w:val="22"/>
          <w:lang w:val="en-GB"/>
        </w:rPr>
        <w:footnoteReference w:id="1"/>
      </w:r>
      <w:r w:rsidR="00A77112" w:rsidRPr="00B14158">
        <w:rPr>
          <w:sz w:val="22"/>
          <w:szCs w:val="22"/>
          <w:lang w:val="en-GB"/>
        </w:rPr>
        <w:t>, which provides for an exception to the generic ban on telemarketing for non-profit and charitable organisations based on a defined customer relationship.</w:t>
      </w:r>
      <w:r w:rsidR="006D1233">
        <w:rPr>
          <w:sz w:val="22"/>
          <w:szCs w:val="22"/>
          <w:lang w:val="en-GB"/>
        </w:rPr>
        <w:t xml:space="preserve"> </w:t>
      </w:r>
      <w:r w:rsidR="005A63AE" w:rsidRPr="005A63AE">
        <w:rPr>
          <w:sz w:val="22"/>
          <w:szCs w:val="22"/>
          <w:lang w:val="en-GB"/>
        </w:rPr>
        <w:t>The Senate subsequently agreed to this as well.</w:t>
      </w:r>
    </w:p>
    <w:p w14:paraId="3D658AA3" w14:textId="77777777" w:rsidR="007E77E7" w:rsidRDefault="007E77E7" w:rsidP="007E77E7">
      <w:pPr>
        <w:spacing w:after="0"/>
        <w:rPr>
          <w:b/>
          <w:bCs/>
          <w:i/>
          <w:iCs/>
          <w:sz w:val="22"/>
          <w:szCs w:val="22"/>
          <w:lang w:val="en-GB"/>
        </w:rPr>
      </w:pPr>
    </w:p>
    <w:p w14:paraId="08BF2BE8" w14:textId="348A6C32" w:rsidR="00573DCD" w:rsidRPr="00E56E03" w:rsidRDefault="00573DCD" w:rsidP="007E77E7">
      <w:pPr>
        <w:spacing w:after="0"/>
        <w:rPr>
          <w:b/>
          <w:bCs/>
          <w:i/>
          <w:iCs/>
          <w:sz w:val="22"/>
          <w:szCs w:val="22"/>
          <w:lang w:val="en-GB"/>
        </w:rPr>
      </w:pPr>
      <w:r w:rsidRPr="00E56E03">
        <w:rPr>
          <w:b/>
          <w:bCs/>
          <w:i/>
          <w:iCs/>
          <w:sz w:val="22"/>
          <w:szCs w:val="22"/>
          <w:lang w:val="en-GB"/>
        </w:rPr>
        <w:t>Door-to-door sales</w:t>
      </w:r>
    </w:p>
    <w:p w14:paraId="29040C0B" w14:textId="0A1F98EF" w:rsidR="00573DCD" w:rsidRPr="00B14158" w:rsidRDefault="00573DCD" w:rsidP="007E77E7">
      <w:pPr>
        <w:spacing w:after="0"/>
        <w:rPr>
          <w:sz w:val="22"/>
          <w:szCs w:val="22"/>
          <w:lang w:val="en-GB"/>
        </w:rPr>
      </w:pPr>
      <w:r w:rsidRPr="00B14158">
        <w:rPr>
          <w:sz w:val="22"/>
          <w:szCs w:val="22"/>
          <w:lang w:val="en-GB"/>
        </w:rPr>
        <w:t xml:space="preserve">The House of Representatives also adopted a motion by NSC Member of Parliament </w:t>
      </w:r>
      <w:proofErr w:type="spellStart"/>
      <w:r w:rsidRPr="00B14158">
        <w:rPr>
          <w:sz w:val="22"/>
          <w:szCs w:val="22"/>
          <w:lang w:val="en-GB"/>
        </w:rPr>
        <w:t>Zeedijk</w:t>
      </w:r>
      <w:proofErr w:type="spellEnd"/>
      <w:r w:rsidR="00CB0F3F">
        <w:rPr>
          <w:rStyle w:val="Voetnootmarkering"/>
          <w:sz w:val="22"/>
          <w:szCs w:val="22"/>
          <w:lang w:val="en-GB"/>
        </w:rPr>
        <w:footnoteReference w:id="2"/>
      </w:r>
      <w:r w:rsidRPr="00B14158">
        <w:rPr>
          <w:sz w:val="22"/>
          <w:szCs w:val="22"/>
          <w:lang w:val="en-GB"/>
        </w:rPr>
        <w:t xml:space="preserve"> requesting the government to exempt non-profit or charitable institutions, as well as lotteries that contribute to good causes, culture, welfare, sports and society, from a mandatory cooling-</w:t>
      </w:r>
      <w:r w:rsidRPr="00B14158">
        <w:rPr>
          <w:sz w:val="22"/>
          <w:szCs w:val="22"/>
          <w:lang w:val="en-GB"/>
        </w:rPr>
        <w:t xml:space="preserve">off period for door-to-door sales. </w:t>
      </w:r>
      <w:r w:rsidR="0052106A" w:rsidRPr="005A63AE">
        <w:rPr>
          <w:sz w:val="22"/>
          <w:szCs w:val="22"/>
          <w:lang w:val="en-GB"/>
        </w:rPr>
        <w:t>The Senate subsequently agreed to this as well.</w:t>
      </w:r>
    </w:p>
    <w:p w14:paraId="284FE231" w14:textId="77777777" w:rsidR="00B14158" w:rsidRDefault="00B14158" w:rsidP="007E77E7">
      <w:pPr>
        <w:spacing w:after="0"/>
        <w:rPr>
          <w:sz w:val="22"/>
          <w:szCs w:val="22"/>
          <w:lang w:val="en-GB"/>
        </w:rPr>
      </w:pPr>
    </w:p>
    <w:p w14:paraId="1B4ED4A5" w14:textId="48264B64" w:rsidR="00573DCD" w:rsidRPr="00B14158" w:rsidRDefault="009552A3" w:rsidP="007E77E7">
      <w:pPr>
        <w:spacing w:after="0"/>
        <w:rPr>
          <w:sz w:val="22"/>
          <w:szCs w:val="22"/>
          <w:lang w:val="en-GB"/>
        </w:rPr>
      </w:pPr>
      <w:r w:rsidRPr="00B14158">
        <w:rPr>
          <w:sz w:val="22"/>
          <w:szCs w:val="22"/>
          <w:lang w:val="en-GB"/>
        </w:rPr>
        <w:t xml:space="preserve">Goede Doelen Nederland </w:t>
      </w:r>
      <w:r w:rsidR="00BE3CA9">
        <w:rPr>
          <w:sz w:val="22"/>
          <w:szCs w:val="22"/>
          <w:lang w:val="en-GB"/>
        </w:rPr>
        <w:t xml:space="preserve">has </w:t>
      </w:r>
      <w:r w:rsidR="00573DCD" w:rsidRPr="00B14158">
        <w:rPr>
          <w:sz w:val="22"/>
          <w:szCs w:val="22"/>
          <w:lang w:val="en-GB"/>
        </w:rPr>
        <w:t xml:space="preserve">provided </w:t>
      </w:r>
      <w:r w:rsidRPr="00B14158">
        <w:rPr>
          <w:sz w:val="22"/>
          <w:szCs w:val="22"/>
          <w:lang w:val="en-GB"/>
        </w:rPr>
        <w:t xml:space="preserve">input </w:t>
      </w:r>
      <w:r w:rsidR="00573DCD" w:rsidRPr="00B14158">
        <w:rPr>
          <w:sz w:val="22"/>
          <w:szCs w:val="22"/>
          <w:lang w:val="en-GB"/>
        </w:rPr>
        <w:t xml:space="preserve">on </w:t>
      </w:r>
      <w:r w:rsidR="00573DCD" w:rsidRPr="00BE3CA9">
        <w:rPr>
          <w:sz w:val="22"/>
          <w:szCs w:val="22"/>
          <w:u w:val="single"/>
          <w:lang w:val="en-GB"/>
        </w:rPr>
        <w:t xml:space="preserve">the consultation </w:t>
      </w:r>
      <w:r w:rsidRPr="00BE3CA9">
        <w:rPr>
          <w:sz w:val="22"/>
          <w:szCs w:val="22"/>
          <w:u w:val="single"/>
          <w:lang w:val="en-GB"/>
        </w:rPr>
        <w:t xml:space="preserve">of </w:t>
      </w:r>
      <w:r w:rsidR="00573DCD" w:rsidRPr="00BE3CA9">
        <w:rPr>
          <w:sz w:val="22"/>
          <w:szCs w:val="22"/>
          <w:u w:val="single"/>
          <w:lang w:val="en-GB"/>
        </w:rPr>
        <w:t xml:space="preserve">the </w:t>
      </w:r>
      <w:r w:rsidR="00DA31FB" w:rsidRPr="00BE3CA9">
        <w:rPr>
          <w:sz w:val="22"/>
          <w:szCs w:val="22"/>
          <w:u w:val="single"/>
          <w:lang w:val="en-GB"/>
        </w:rPr>
        <w:t>c</w:t>
      </w:r>
      <w:r w:rsidR="00573DCD" w:rsidRPr="00BE3CA9">
        <w:rPr>
          <w:sz w:val="22"/>
          <w:szCs w:val="22"/>
          <w:u w:val="single"/>
          <w:lang w:val="en-GB"/>
        </w:rPr>
        <w:t xml:space="preserve">ooling-off </w:t>
      </w:r>
      <w:r w:rsidR="00DA31FB" w:rsidRPr="00BE3CA9">
        <w:rPr>
          <w:sz w:val="22"/>
          <w:szCs w:val="22"/>
          <w:u w:val="single"/>
          <w:lang w:val="en-GB"/>
        </w:rPr>
        <w:t>p</w:t>
      </w:r>
      <w:r w:rsidR="00573DCD" w:rsidRPr="00BE3CA9">
        <w:rPr>
          <w:sz w:val="22"/>
          <w:szCs w:val="22"/>
          <w:u w:val="single"/>
          <w:lang w:val="en-GB"/>
        </w:rPr>
        <w:t xml:space="preserve">eriod for </w:t>
      </w:r>
      <w:r w:rsidR="000B5EB8" w:rsidRPr="00BE3CA9">
        <w:rPr>
          <w:sz w:val="22"/>
          <w:szCs w:val="22"/>
          <w:u w:val="single"/>
          <w:lang w:val="en-GB"/>
        </w:rPr>
        <w:t>d</w:t>
      </w:r>
      <w:r w:rsidR="00573DCD" w:rsidRPr="00BE3CA9">
        <w:rPr>
          <w:sz w:val="22"/>
          <w:szCs w:val="22"/>
          <w:u w:val="single"/>
          <w:lang w:val="en-GB"/>
        </w:rPr>
        <w:t>oor-to-</w:t>
      </w:r>
      <w:r w:rsidR="000B5EB8" w:rsidRPr="00BE3CA9">
        <w:rPr>
          <w:sz w:val="22"/>
          <w:szCs w:val="22"/>
          <w:u w:val="single"/>
          <w:lang w:val="en-GB"/>
        </w:rPr>
        <w:t>d</w:t>
      </w:r>
      <w:r w:rsidR="00573DCD" w:rsidRPr="00BE3CA9">
        <w:rPr>
          <w:sz w:val="22"/>
          <w:szCs w:val="22"/>
          <w:u w:val="single"/>
          <w:lang w:val="en-GB"/>
        </w:rPr>
        <w:t xml:space="preserve">oor </w:t>
      </w:r>
      <w:r w:rsidR="00DA31FB" w:rsidRPr="00BE3CA9">
        <w:rPr>
          <w:sz w:val="22"/>
          <w:szCs w:val="22"/>
          <w:u w:val="single"/>
          <w:lang w:val="en-GB"/>
        </w:rPr>
        <w:t>s</w:t>
      </w:r>
      <w:r w:rsidR="00573DCD" w:rsidRPr="00BE3CA9">
        <w:rPr>
          <w:sz w:val="22"/>
          <w:szCs w:val="22"/>
          <w:u w:val="single"/>
          <w:lang w:val="en-GB"/>
        </w:rPr>
        <w:t>ales Bill</w:t>
      </w:r>
      <w:r w:rsidR="00573DCD" w:rsidRPr="00B14158">
        <w:rPr>
          <w:sz w:val="22"/>
          <w:szCs w:val="22"/>
          <w:lang w:val="en-GB"/>
        </w:rPr>
        <w:t xml:space="preserve">. Goede Doelen Nederland </w:t>
      </w:r>
      <w:r w:rsidRPr="00B14158">
        <w:rPr>
          <w:sz w:val="22"/>
          <w:szCs w:val="22"/>
          <w:lang w:val="en-GB"/>
        </w:rPr>
        <w:t xml:space="preserve">emphasised </w:t>
      </w:r>
      <w:r w:rsidR="00573DCD" w:rsidRPr="00B14158">
        <w:rPr>
          <w:sz w:val="22"/>
          <w:szCs w:val="22"/>
          <w:lang w:val="en-GB"/>
        </w:rPr>
        <w:t xml:space="preserve">the importance of the scope of </w:t>
      </w:r>
      <w:r w:rsidR="00573DCD" w:rsidRPr="00B14158">
        <w:rPr>
          <w:sz w:val="22"/>
          <w:szCs w:val="22"/>
          <w:lang w:val="en-GB"/>
        </w:rPr>
        <w:lastRenderedPageBreak/>
        <w:t>this bill</w:t>
      </w:r>
      <w:r w:rsidRPr="00B14158">
        <w:rPr>
          <w:sz w:val="22"/>
          <w:szCs w:val="22"/>
          <w:lang w:val="en-GB"/>
        </w:rPr>
        <w:t xml:space="preserve">, since it calls for CSOs to be outside of the scope of the law. </w:t>
      </w:r>
      <w:r w:rsidR="00573DCD" w:rsidRPr="00B14158">
        <w:rPr>
          <w:sz w:val="22"/>
          <w:szCs w:val="22"/>
          <w:lang w:val="en-GB"/>
        </w:rPr>
        <w:t xml:space="preserve">Goede Doelen Nederland fully agrees with this scope. </w:t>
      </w:r>
    </w:p>
    <w:p w14:paraId="29B7F584" w14:textId="77777777" w:rsidR="007E77E7" w:rsidRDefault="007E77E7" w:rsidP="007E77E7">
      <w:pPr>
        <w:spacing w:after="0"/>
        <w:rPr>
          <w:b/>
          <w:bCs/>
          <w:lang w:val="en-GB"/>
        </w:rPr>
      </w:pPr>
    </w:p>
    <w:p w14:paraId="3A407ED4" w14:textId="04BB8A5E" w:rsidR="00573DCD" w:rsidRPr="00E56E03" w:rsidRDefault="00573DCD" w:rsidP="007E77E7">
      <w:pPr>
        <w:spacing w:after="0"/>
        <w:rPr>
          <w:b/>
          <w:bCs/>
          <w:lang w:val="en-GB"/>
        </w:rPr>
      </w:pPr>
      <w:r w:rsidRPr="00E56E03">
        <w:rPr>
          <w:b/>
          <w:bCs/>
          <w:lang w:val="en-GB"/>
        </w:rPr>
        <w:t>European developments</w:t>
      </w:r>
    </w:p>
    <w:p w14:paraId="7FB6A3B7" w14:textId="574E7064" w:rsidR="0089752F" w:rsidRPr="00E255AF" w:rsidRDefault="00573DCD" w:rsidP="007E77E7">
      <w:pPr>
        <w:spacing w:after="0"/>
        <w:rPr>
          <w:b/>
          <w:bCs/>
          <w:i/>
          <w:iCs/>
          <w:sz w:val="22"/>
          <w:szCs w:val="22"/>
          <w:lang w:val="en-GB"/>
        </w:rPr>
      </w:pPr>
      <w:r w:rsidRPr="00E255AF">
        <w:rPr>
          <w:b/>
          <w:bCs/>
          <w:i/>
          <w:iCs/>
          <w:sz w:val="22"/>
          <w:szCs w:val="22"/>
          <w:lang w:val="en-GB"/>
        </w:rPr>
        <w:t>Non-paper of The Netherlands on actions for the EC Consumer Agenda 2025-2030</w:t>
      </w:r>
    </w:p>
    <w:p w14:paraId="4940C222" w14:textId="473CCEBF" w:rsidR="000E6F22" w:rsidRPr="00B14158" w:rsidRDefault="000E6F22" w:rsidP="007E77E7">
      <w:pPr>
        <w:spacing w:after="0"/>
        <w:rPr>
          <w:sz w:val="22"/>
          <w:szCs w:val="22"/>
          <w:lang w:val="en-GB"/>
        </w:rPr>
      </w:pPr>
      <w:r w:rsidRPr="00B14158">
        <w:rPr>
          <w:sz w:val="22"/>
          <w:szCs w:val="22"/>
          <w:lang w:val="en-GB"/>
        </w:rPr>
        <w:t xml:space="preserve">With this non-paper, the Ministry of Economic Affairs </w:t>
      </w:r>
      <w:r w:rsidR="00E255AF" w:rsidRPr="00B14158">
        <w:rPr>
          <w:sz w:val="22"/>
          <w:szCs w:val="22"/>
          <w:lang w:val="en-GB"/>
        </w:rPr>
        <w:t>wants to</w:t>
      </w:r>
      <w:r w:rsidR="004607C2" w:rsidRPr="00B14158">
        <w:rPr>
          <w:sz w:val="22"/>
          <w:szCs w:val="22"/>
          <w:lang w:val="en-GB"/>
        </w:rPr>
        <w:t xml:space="preserve"> make </w:t>
      </w:r>
      <w:r w:rsidRPr="00B14158">
        <w:rPr>
          <w:sz w:val="22"/>
          <w:szCs w:val="22"/>
          <w:lang w:val="en-GB"/>
        </w:rPr>
        <w:t xml:space="preserve">a </w:t>
      </w:r>
      <w:r w:rsidR="00A55337">
        <w:rPr>
          <w:sz w:val="22"/>
          <w:szCs w:val="22"/>
          <w:lang w:val="en-GB"/>
        </w:rPr>
        <w:t xml:space="preserve">concrete </w:t>
      </w:r>
      <w:r w:rsidRPr="00B14158">
        <w:rPr>
          <w:sz w:val="22"/>
          <w:szCs w:val="22"/>
          <w:lang w:val="en-GB"/>
        </w:rPr>
        <w:t>contribution to the new European consumer agenda. In the Netherlands, complaints about door-to-door sales and telemarketing persist, despite national measures to better protect consumers</w:t>
      </w:r>
      <w:r w:rsidRPr="00B14158">
        <w:rPr>
          <w:sz w:val="22"/>
          <w:szCs w:val="22"/>
          <w:lang w:val="en-GB"/>
        </w:rPr>
        <w:t xml:space="preserve">. Vulnerable consumers are regularly exposed to excessive pressure. This also applies to more expensive and complex contracts, such as energy contracts. The Ministry advocates giving Member States the explicit option to ban door-to-door sales and telemarketing (at a general or sectoral level) when </w:t>
      </w:r>
      <w:proofErr w:type="gramStart"/>
      <w:r w:rsidRPr="00B14158">
        <w:rPr>
          <w:sz w:val="22"/>
          <w:szCs w:val="22"/>
          <w:lang w:val="en-GB"/>
        </w:rPr>
        <w:t>necessary</w:t>
      </w:r>
      <w:proofErr w:type="gramEnd"/>
      <w:r w:rsidRPr="00B14158">
        <w:rPr>
          <w:sz w:val="22"/>
          <w:szCs w:val="22"/>
          <w:lang w:val="en-GB"/>
        </w:rPr>
        <w:t xml:space="preserve"> in an individual Member State. These sales methods are rarely used across borders. </w:t>
      </w:r>
    </w:p>
    <w:p w14:paraId="0C5852D1" w14:textId="77777777" w:rsidR="007E77E7" w:rsidRPr="00B14158" w:rsidRDefault="007E77E7" w:rsidP="007E77E7">
      <w:pPr>
        <w:spacing w:after="0"/>
        <w:rPr>
          <w:sz w:val="22"/>
          <w:szCs w:val="22"/>
          <w:lang w:val="en-US"/>
        </w:rPr>
      </w:pPr>
    </w:p>
    <w:p w14:paraId="038CA6DF" w14:textId="24F2A95E" w:rsidR="004219F6" w:rsidRPr="003E15AE" w:rsidRDefault="004219F6" w:rsidP="007E77E7">
      <w:pPr>
        <w:spacing w:after="0"/>
        <w:rPr>
          <w:b/>
          <w:bCs/>
          <w:i/>
          <w:iCs/>
          <w:sz w:val="22"/>
          <w:szCs w:val="22"/>
          <w:lang w:val="en-US"/>
        </w:rPr>
      </w:pPr>
      <w:r w:rsidRPr="003E15AE">
        <w:rPr>
          <w:b/>
          <w:bCs/>
          <w:i/>
          <w:iCs/>
          <w:sz w:val="22"/>
          <w:szCs w:val="22"/>
          <w:lang w:val="en-US"/>
        </w:rPr>
        <w:t>Goede Doelen Nederland has provided input for various European consultations:</w:t>
      </w:r>
    </w:p>
    <w:p w14:paraId="17128665" w14:textId="63000EC4" w:rsidR="000E6F22" w:rsidRDefault="00BB6017" w:rsidP="007E77E7">
      <w:pPr>
        <w:spacing w:after="0"/>
        <w:rPr>
          <w:sz w:val="22"/>
          <w:szCs w:val="22"/>
          <w:lang w:val="en-GB"/>
        </w:rPr>
      </w:pPr>
      <w:r w:rsidRPr="00B14158">
        <w:rPr>
          <w:sz w:val="22"/>
          <w:szCs w:val="22"/>
          <w:lang w:val="en-GB"/>
        </w:rPr>
        <w:t xml:space="preserve">Goede Doelen </w:t>
      </w:r>
      <w:r w:rsidR="004219F6" w:rsidRPr="00B14158">
        <w:rPr>
          <w:sz w:val="22"/>
          <w:szCs w:val="22"/>
          <w:lang w:val="en-GB"/>
        </w:rPr>
        <w:t xml:space="preserve">Nederland </w:t>
      </w:r>
      <w:r w:rsidR="000E6F22" w:rsidRPr="00B14158">
        <w:rPr>
          <w:sz w:val="22"/>
          <w:szCs w:val="22"/>
          <w:lang w:val="en-GB"/>
        </w:rPr>
        <w:t xml:space="preserve">has been provided </w:t>
      </w:r>
      <w:r w:rsidRPr="00B14158">
        <w:rPr>
          <w:sz w:val="22"/>
          <w:szCs w:val="22"/>
          <w:lang w:val="en-GB"/>
        </w:rPr>
        <w:t xml:space="preserve">input </w:t>
      </w:r>
      <w:r w:rsidR="000E6F22" w:rsidRPr="00B14158">
        <w:rPr>
          <w:sz w:val="22"/>
          <w:szCs w:val="22"/>
          <w:lang w:val="en-GB"/>
        </w:rPr>
        <w:t xml:space="preserve">on the </w:t>
      </w:r>
      <w:r w:rsidR="000E6F22" w:rsidRPr="00A55337">
        <w:rPr>
          <w:sz w:val="22"/>
          <w:szCs w:val="22"/>
          <w:u w:val="single"/>
          <w:lang w:val="en-GB"/>
        </w:rPr>
        <w:t>Consumer Agenda 2025-2030 consultation and the action plan for consumers in the internal market</w:t>
      </w:r>
      <w:r w:rsidR="000E6F22" w:rsidRPr="00B14158">
        <w:rPr>
          <w:sz w:val="22"/>
          <w:szCs w:val="22"/>
          <w:lang w:val="en-GB"/>
        </w:rPr>
        <w:t xml:space="preserve">. Goede Doelen Nederland requests that the European Commission </w:t>
      </w:r>
      <w:r w:rsidR="004219F6" w:rsidRPr="00B14158">
        <w:rPr>
          <w:sz w:val="22"/>
          <w:szCs w:val="22"/>
          <w:lang w:val="en-GB"/>
        </w:rPr>
        <w:t xml:space="preserve">takes </w:t>
      </w:r>
      <w:r w:rsidR="000E6F22" w:rsidRPr="00B14158">
        <w:rPr>
          <w:sz w:val="22"/>
          <w:szCs w:val="22"/>
          <w:lang w:val="en-GB"/>
        </w:rPr>
        <w:t xml:space="preserve">the special position of </w:t>
      </w:r>
      <w:r w:rsidRPr="00B14158">
        <w:rPr>
          <w:sz w:val="22"/>
          <w:szCs w:val="22"/>
          <w:lang w:val="en-GB"/>
        </w:rPr>
        <w:t xml:space="preserve">CSOs </w:t>
      </w:r>
      <w:r w:rsidR="004219F6" w:rsidRPr="00B14158">
        <w:rPr>
          <w:sz w:val="22"/>
          <w:szCs w:val="22"/>
          <w:lang w:val="en-GB"/>
        </w:rPr>
        <w:t xml:space="preserve">into account </w:t>
      </w:r>
      <w:r w:rsidR="000E6F22" w:rsidRPr="00B14158">
        <w:rPr>
          <w:sz w:val="22"/>
          <w:szCs w:val="22"/>
          <w:lang w:val="en-GB"/>
        </w:rPr>
        <w:t>and exempt them from the proposed generic measures.</w:t>
      </w:r>
    </w:p>
    <w:p w14:paraId="76F6D6C0" w14:textId="77777777" w:rsidR="00A543CE" w:rsidRPr="00B14158" w:rsidRDefault="00A543CE" w:rsidP="007E77E7">
      <w:pPr>
        <w:spacing w:after="0"/>
        <w:rPr>
          <w:sz w:val="22"/>
          <w:szCs w:val="22"/>
          <w:lang w:val="en-GB"/>
        </w:rPr>
      </w:pPr>
    </w:p>
    <w:p w14:paraId="6F9A849C" w14:textId="32A0547B" w:rsidR="009E1623" w:rsidRPr="00B14158" w:rsidRDefault="00BB6017" w:rsidP="007E77E7">
      <w:pPr>
        <w:spacing w:after="0"/>
        <w:rPr>
          <w:sz w:val="22"/>
          <w:szCs w:val="22"/>
          <w:lang w:val="en-GB"/>
        </w:rPr>
      </w:pPr>
      <w:r w:rsidRPr="00B14158">
        <w:rPr>
          <w:sz w:val="22"/>
          <w:szCs w:val="22"/>
          <w:lang w:val="en-GB"/>
        </w:rPr>
        <w:t xml:space="preserve">Goede Doelen </w:t>
      </w:r>
      <w:r w:rsidR="004B3952" w:rsidRPr="00B14158">
        <w:rPr>
          <w:sz w:val="22"/>
          <w:szCs w:val="22"/>
          <w:lang w:val="en-GB"/>
        </w:rPr>
        <w:t>N</w:t>
      </w:r>
      <w:r w:rsidRPr="00B14158">
        <w:rPr>
          <w:sz w:val="22"/>
          <w:szCs w:val="22"/>
          <w:lang w:val="en-GB"/>
        </w:rPr>
        <w:t>ederland has</w:t>
      </w:r>
      <w:r w:rsidR="009E1623" w:rsidRPr="00B14158">
        <w:rPr>
          <w:sz w:val="22"/>
          <w:szCs w:val="22"/>
          <w:lang w:val="en-GB"/>
        </w:rPr>
        <w:t xml:space="preserve"> </w:t>
      </w:r>
      <w:r w:rsidR="0064329A" w:rsidRPr="00B14158">
        <w:rPr>
          <w:sz w:val="22"/>
          <w:szCs w:val="22"/>
          <w:lang w:val="en-GB"/>
        </w:rPr>
        <w:t xml:space="preserve">also </w:t>
      </w:r>
      <w:r w:rsidR="009E1623" w:rsidRPr="00B14158">
        <w:rPr>
          <w:sz w:val="22"/>
          <w:szCs w:val="22"/>
          <w:lang w:val="en-GB"/>
        </w:rPr>
        <w:t xml:space="preserve">provided </w:t>
      </w:r>
      <w:r w:rsidRPr="00B14158">
        <w:rPr>
          <w:sz w:val="22"/>
          <w:szCs w:val="22"/>
          <w:lang w:val="en-GB"/>
        </w:rPr>
        <w:t xml:space="preserve">input </w:t>
      </w:r>
      <w:r w:rsidR="009E1623" w:rsidRPr="00B14158">
        <w:rPr>
          <w:sz w:val="22"/>
          <w:szCs w:val="22"/>
          <w:lang w:val="en-GB"/>
        </w:rPr>
        <w:t xml:space="preserve">on the </w:t>
      </w:r>
      <w:r w:rsidR="00A55337" w:rsidRPr="00A543CE">
        <w:rPr>
          <w:sz w:val="22"/>
          <w:szCs w:val="22"/>
          <w:u w:val="single"/>
          <w:lang w:val="en-GB"/>
        </w:rPr>
        <w:t xml:space="preserve">consultation </w:t>
      </w:r>
      <w:r w:rsidR="00A543CE" w:rsidRPr="00A543CE">
        <w:rPr>
          <w:sz w:val="22"/>
          <w:szCs w:val="22"/>
          <w:u w:val="single"/>
          <w:lang w:val="en-GB"/>
        </w:rPr>
        <w:t xml:space="preserve">on the </w:t>
      </w:r>
      <w:r w:rsidR="009E1623" w:rsidRPr="00A543CE">
        <w:rPr>
          <w:sz w:val="22"/>
          <w:szCs w:val="22"/>
          <w:u w:val="single"/>
          <w:lang w:val="en-GB"/>
        </w:rPr>
        <w:t>Digital</w:t>
      </w:r>
      <w:r w:rsidR="009E1623" w:rsidRPr="00A55337">
        <w:rPr>
          <w:sz w:val="22"/>
          <w:szCs w:val="22"/>
          <w:u w:val="single"/>
          <w:lang w:val="en-GB"/>
        </w:rPr>
        <w:t xml:space="preserve"> Markets Act consultation</w:t>
      </w:r>
      <w:r w:rsidR="009E1623" w:rsidRPr="00B14158">
        <w:rPr>
          <w:sz w:val="22"/>
          <w:szCs w:val="22"/>
          <w:lang w:val="en-GB"/>
        </w:rPr>
        <w:t xml:space="preserve">. Goede Doelen Nederland advocates for a provision that guarantees that the fundamental rights of </w:t>
      </w:r>
      <w:r w:rsidR="00876D31" w:rsidRPr="00B14158">
        <w:rPr>
          <w:sz w:val="22"/>
          <w:szCs w:val="22"/>
          <w:lang w:val="en-GB"/>
        </w:rPr>
        <w:t>CSOs</w:t>
      </w:r>
      <w:r w:rsidR="009E1623" w:rsidRPr="00B14158">
        <w:rPr>
          <w:sz w:val="22"/>
          <w:szCs w:val="22"/>
          <w:lang w:val="en-GB"/>
        </w:rPr>
        <w:t xml:space="preserve"> are protected against restrictions imposed by (powerful) private parties, such as online platforms.  </w:t>
      </w:r>
    </w:p>
    <w:p w14:paraId="2FF2D4E6" w14:textId="77777777" w:rsidR="007E77E7" w:rsidRPr="00B14158" w:rsidRDefault="007E77E7" w:rsidP="007E77E7">
      <w:pPr>
        <w:spacing w:after="0"/>
        <w:rPr>
          <w:sz w:val="22"/>
          <w:szCs w:val="22"/>
          <w:lang w:val="en-GB"/>
        </w:rPr>
      </w:pPr>
    </w:p>
    <w:p w14:paraId="666E0153" w14:textId="77379E1D" w:rsidR="000E6F22" w:rsidRPr="00A543CE" w:rsidRDefault="00876D31" w:rsidP="007E77E7">
      <w:pPr>
        <w:spacing w:after="0"/>
        <w:rPr>
          <w:sz w:val="22"/>
          <w:szCs w:val="22"/>
          <w:lang w:val="en-GB"/>
        </w:rPr>
      </w:pPr>
      <w:r w:rsidRPr="00B14158">
        <w:rPr>
          <w:sz w:val="22"/>
          <w:szCs w:val="22"/>
          <w:lang w:val="en-GB"/>
        </w:rPr>
        <w:t xml:space="preserve">Goede Doelen Nederland has </w:t>
      </w:r>
      <w:r w:rsidR="009E1623" w:rsidRPr="00B14158">
        <w:rPr>
          <w:sz w:val="22"/>
          <w:szCs w:val="22"/>
          <w:lang w:val="en-GB"/>
        </w:rPr>
        <w:t xml:space="preserve">provided </w:t>
      </w:r>
      <w:r w:rsidRPr="00B14158">
        <w:rPr>
          <w:sz w:val="22"/>
          <w:szCs w:val="22"/>
          <w:lang w:val="en-GB"/>
        </w:rPr>
        <w:t xml:space="preserve">input </w:t>
      </w:r>
      <w:r w:rsidR="009E1623" w:rsidRPr="00B14158">
        <w:rPr>
          <w:sz w:val="22"/>
          <w:szCs w:val="22"/>
          <w:lang w:val="en-GB"/>
        </w:rPr>
        <w:t xml:space="preserve">on </w:t>
      </w:r>
      <w:r w:rsidR="009E1623" w:rsidRPr="00A543CE">
        <w:rPr>
          <w:sz w:val="22"/>
          <w:szCs w:val="22"/>
          <w:u w:val="single"/>
          <w:lang w:val="en-GB"/>
        </w:rPr>
        <w:t>the consultation Guidelines 3/2025 on the interplay between the DSA and the GDPR</w:t>
      </w:r>
      <w:r w:rsidR="009E1623" w:rsidRPr="00B14158">
        <w:rPr>
          <w:sz w:val="22"/>
          <w:szCs w:val="22"/>
          <w:lang w:val="en-GB"/>
        </w:rPr>
        <w:t>. Goede Doelen Nederland advocates for clarity, because not every campaign on health topics automatically falls under Article 9 of the GDPR, particularly when no identifiable health data is processed</w:t>
      </w:r>
      <w:r w:rsidR="009E1623" w:rsidRPr="00B14158">
        <w:rPr>
          <w:sz w:val="22"/>
          <w:szCs w:val="22"/>
          <w:lang w:val="en-GB"/>
        </w:rPr>
        <w:t xml:space="preserve">. We also advocate </w:t>
      </w:r>
      <w:r w:rsidR="0064329A" w:rsidRPr="00B14158">
        <w:rPr>
          <w:sz w:val="22"/>
          <w:szCs w:val="22"/>
          <w:lang w:val="en-GB"/>
        </w:rPr>
        <w:t xml:space="preserve">for </w:t>
      </w:r>
      <w:r w:rsidR="009E1623" w:rsidRPr="00B14158">
        <w:rPr>
          <w:sz w:val="22"/>
          <w:szCs w:val="22"/>
          <w:lang w:val="en-GB"/>
        </w:rPr>
        <w:t xml:space="preserve">recognition </w:t>
      </w:r>
      <w:r w:rsidR="004B3952" w:rsidRPr="00B14158">
        <w:rPr>
          <w:sz w:val="22"/>
          <w:szCs w:val="22"/>
          <w:lang w:val="en-GB"/>
        </w:rPr>
        <w:t>CSOs</w:t>
      </w:r>
      <w:r w:rsidR="009E1623" w:rsidRPr="00B14158">
        <w:rPr>
          <w:sz w:val="22"/>
          <w:szCs w:val="22"/>
          <w:lang w:val="en-GB"/>
        </w:rPr>
        <w:t xml:space="preserve"> that do not process personal data are not subject to these restrictions</w:t>
      </w:r>
      <w:r w:rsidR="0064329A" w:rsidRPr="00B14158">
        <w:rPr>
          <w:sz w:val="22"/>
          <w:szCs w:val="22"/>
          <w:lang w:val="en-GB"/>
        </w:rPr>
        <w:t xml:space="preserve">. In addition, </w:t>
      </w:r>
      <w:r w:rsidR="0064329A" w:rsidRPr="00B14158">
        <w:rPr>
          <w:sz w:val="22"/>
          <w:szCs w:val="22"/>
          <w:lang w:val="en-US"/>
        </w:rPr>
        <w:t>we call for</w:t>
      </w:r>
      <w:r w:rsidR="009E1623" w:rsidRPr="00A543CE">
        <w:rPr>
          <w:sz w:val="22"/>
          <w:szCs w:val="22"/>
          <w:lang w:val="en-GB"/>
        </w:rPr>
        <w:t xml:space="preserve"> recognition of the special position of </w:t>
      </w:r>
      <w:r w:rsidR="004B3952" w:rsidRPr="00A543CE">
        <w:rPr>
          <w:sz w:val="22"/>
          <w:szCs w:val="22"/>
          <w:lang w:val="en-GB"/>
        </w:rPr>
        <w:t>CSOs</w:t>
      </w:r>
      <w:r w:rsidR="0064329A" w:rsidRPr="00A543CE">
        <w:rPr>
          <w:sz w:val="22"/>
          <w:szCs w:val="22"/>
          <w:lang w:val="en-GB"/>
        </w:rPr>
        <w:t>,</w:t>
      </w:r>
      <w:r w:rsidR="009E1623" w:rsidRPr="00A543CE">
        <w:rPr>
          <w:sz w:val="22"/>
          <w:szCs w:val="22"/>
          <w:lang w:val="en-GB"/>
        </w:rPr>
        <w:t xml:space="preserve"> because of their important contribution to the values and objectives of the European Union.</w:t>
      </w:r>
    </w:p>
    <w:p w14:paraId="4D7DFF86" w14:textId="77777777" w:rsidR="007E77E7" w:rsidRDefault="007E77E7" w:rsidP="007E77E7">
      <w:pPr>
        <w:spacing w:after="0"/>
        <w:rPr>
          <w:b/>
          <w:bCs/>
          <w:sz w:val="32"/>
          <w:szCs w:val="32"/>
          <w:lang w:val="en-GB"/>
        </w:rPr>
      </w:pPr>
    </w:p>
    <w:p w14:paraId="64AD6DEB" w14:textId="3E7299AB" w:rsidR="0051443B" w:rsidRPr="004B3952" w:rsidRDefault="0051443B" w:rsidP="007E77E7">
      <w:pPr>
        <w:spacing w:after="0"/>
        <w:rPr>
          <w:b/>
          <w:bCs/>
          <w:sz w:val="32"/>
          <w:szCs w:val="32"/>
          <w:lang w:val="en-GB"/>
        </w:rPr>
      </w:pPr>
      <w:r w:rsidRPr="004B3952">
        <w:rPr>
          <w:b/>
          <w:bCs/>
          <w:sz w:val="32"/>
          <w:szCs w:val="32"/>
          <w:lang w:val="en-GB"/>
        </w:rPr>
        <w:t>Derisking</w:t>
      </w:r>
    </w:p>
    <w:p w14:paraId="6C5EAACF" w14:textId="77777777" w:rsidR="0051443B" w:rsidRPr="004B3952" w:rsidRDefault="0051443B" w:rsidP="007E77E7">
      <w:pPr>
        <w:spacing w:after="0"/>
        <w:rPr>
          <w:b/>
          <w:bCs/>
          <w:i/>
          <w:iCs/>
          <w:sz w:val="22"/>
          <w:szCs w:val="22"/>
          <w:lang w:val="en-GB"/>
        </w:rPr>
      </w:pPr>
      <w:r w:rsidRPr="004B3952">
        <w:rPr>
          <w:b/>
          <w:bCs/>
          <w:i/>
          <w:iCs/>
          <w:sz w:val="22"/>
          <w:szCs w:val="22"/>
          <w:lang w:val="en-GB"/>
        </w:rPr>
        <w:t>Introduction</w:t>
      </w:r>
    </w:p>
    <w:p w14:paraId="06CBAA42" w14:textId="26A63B4E" w:rsidR="0051443B" w:rsidRPr="00B14158" w:rsidRDefault="0051443B" w:rsidP="007E77E7">
      <w:pPr>
        <w:spacing w:after="0"/>
        <w:rPr>
          <w:sz w:val="22"/>
          <w:szCs w:val="22"/>
          <w:lang w:val="en-GB"/>
        </w:rPr>
      </w:pPr>
      <w:r w:rsidRPr="00B14158">
        <w:rPr>
          <w:sz w:val="22"/>
          <w:szCs w:val="22"/>
          <w:lang w:val="en-GB"/>
        </w:rPr>
        <w:t xml:space="preserve">Banks and payment service providers (PSPs) must comply with strict laws and regulations such as the Financial Supervision Act and the Money Laundering and Terrorist Financing (Prevention) Act. This has many negative effects on </w:t>
      </w:r>
      <w:r w:rsidR="00283170" w:rsidRPr="00B14158">
        <w:rPr>
          <w:sz w:val="22"/>
          <w:szCs w:val="22"/>
          <w:lang w:val="en-GB"/>
        </w:rPr>
        <w:t>CSOs</w:t>
      </w:r>
      <w:r w:rsidR="0064329A" w:rsidRPr="00B14158">
        <w:rPr>
          <w:sz w:val="22"/>
          <w:szCs w:val="22"/>
          <w:lang w:val="en-GB"/>
        </w:rPr>
        <w:t>.</w:t>
      </w:r>
    </w:p>
    <w:p w14:paraId="4E4F5E8C" w14:textId="2F8F9881" w:rsidR="0051443B" w:rsidRPr="00B14158" w:rsidRDefault="0051443B" w:rsidP="007E77E7">
      <w:pPr>
        <w:spacing w:after="0"/>
        <w:rPr>
          <w:sz w:val="22"/>
          <w:szCs w:val="22"/>
          <w:lang w:val="en-GB"/>
        </w:rPr>
      </w:pPr>
      <w:r w:rsidRPr="00B14158">
        <w:rPr>
          <w:sz w:val="22"/>
          <w:szCs w:val="22"/>
          <w:lang w:val="en-GB"/>
        </w:rPr>
        <w:t xml:space="preserve">At present, large numbers of </w:t>
      </w:r>
      <w:r w:rsidR="00F14ED3" w:rsidRPr="00B14158">
        <w:rPr>
          <w:sz w:val="22"/>
          <w:szCs w:val="22"/>
          <w:lang w:val="en-GB"/>
        </w:rPr>
        <w:t>CSOs</w:t>
      </w:r>
      <w:r w:rsidRPr="00B14158">
        <w:rPr>
          <w:sz w:val="22"/>
          <w:szCs w:val="22"/>
          <w:lang w:val="en-GB"/>
        </w:rPr>
        <w:t xml:space="preserve"> – both large and small – are still faced with blocked bank accounts, refusal by payment service providers, or difficulty in opening new bank accounts. In addition, there are enormous delays in transferring money to both high-risk and non-high-risk areas </w:t>
      </w:r>
      <w:r w:rsidRPr="00B14158">
        <w:rPr>
          <w:sz w:val="22"/>
          <w:szCs w:val="22"/>
          <w:lang w:val="en-GB"/>
        </w:rPr>
        <w:t xml:space="preserve">abroad. These obstacles jeopardise the daily work of large numbers of </w:t>
      </w:r>
      <w:r w:rsidR="00F14ED3" w:rsidRPr="00B14158">
        <w:rPr>
          <w:sz w:val="22"/>
          <w:szCs w:val="22"/>
          <w:lang w:val="en-GB"/>
        </w:rPr>
        <w:t xml:space="preserve">CSOs </w:t>
      </w:r>
      <w:r w:rsidRPr="00B14158">
        <w:rPr>
          <w:sz w:val="22"/>
          <w:szCs w:val="22"/>
          <w:lang w:val="en-GB"/>
        </w:rPr>
        <w:t xml:space="preserve">and make it difficult for them to achieve their mission. These obstacles also lead to a significant increase in workload and (administrative) costs. For both smaller and larger organisations, this is a reason to cease their activities, if they have not already been forced to do so prematurely. </w:t>
      </w:r>
    </w:p>
    <w:p w14:paraId="1D89A1A1" w14:textId="77777777" w:rsidR="007E77E7" w:rsidRPr="00B14158" w:rsidRDefault="007E77E7" w:rsidP="007E77E7">
      <w:pPr>
        <w:spacing w:after="0"/>
        <w:rPr>
          <w:sz w:val="22"/>
          <w:szCs w:val="22"/>
          <w:lang w:val="en-GB"/>
        </w:rPr>
      </w:pPr>
    </w:p>
    <w:p w14:paraId="4F8CFF52" w14:textId="19759C5E" w:rsidR="009E1623" w:rsidRPr="00B14158" w:rsidRDefault="0051443B" w:rsidP="007E77E7">
      <w:pPr>
        <w:spacing w:after="0"/>
        <w:rPr>
          <w:sz w:val="22"/>
          <w:szCs w:val="22"/>
          <w:lang w:val="en-GB"/>
        </w:rPr>
      </w:pPr>
      <w:r w:rsidRPr="00B14158">
        <w:rPr>
          <w:sz w:val="22"/>
          <w:szCs w:val="22"/>
          <w:lang w:val="en-GB"/>
        </w:rPr>
        <w:t>Goede Doelen Nederland, together with other parties such as CBF, NOV, HSC and Partin, is committed to improving access to payment transactions.</w:t>
      </w:r>
    </w:p>
    <w:p w14:paraId="4ADA4FA7" w14:textId="77777777" w:rsidR="007E77E7" w:rsidRDefault="007E77E7" w:rsidP="007E77E7">
      <w:pPr>
        <w:spacing w:after="0"/>
        <w:rPr>
          <w:b/>
          <w:bCs/>
          <w:i/>
          <w:iCs/>
          <w:sz w:val="22"/>
          <w:szCs w:val="22"/>
          <w:lang w:val="en-GB"/>
        </w:rPr>
      </w:pPr>
    </w:p>
    <w:p w14:paraId="5C777806" w14:textId="2555B47C" w:rsidR="006C5157" w:rsidRPr="00F14ED3" w:rsidRDefault="006C5157" w:rsidP="007E77E7">
      <w:pPr>
        <w:spacing w:after="0"/>
        <w:rPr>
          <w:b/>
          <w:bCs/>
          <w:i/>
          <w:iCs/>
          <w:sz w:val="22"/>
          <w:szCs w:val="22"/>
          <w:lang w:val="en-GB"/>
        </w:rPr>
      </w:pPr>
      <w:r w:rsidRPr="00FE3551">
        <w:rPr>
          <w:b/>
          <w:bCs/>
          <w:i/>
          <w:iCs/>
          <w:sz w:val="22"/>
          <w:szCs w:val="22"/>
          <w:lang w:val="en-GB"/>
        </w:rPr>
        <w:t>The Dutch Banking Association standard for non-profit organisations</w:t>
      </w:r>
      <w:r w:rsidR="003E15AE">
        <w:rPr>
          <w:b/>
          <w:bCs/>
          <w:i/>
          <w:iCs/>
          <w:sz w:val="22"/>
          <w:szCs w:val="22"/>
          <w:lang w:val="en-GB"/>
        </w:rPr>
        <w:t xml:space="preserve"> </w:t>
      </w:r>
      <w:r w:rsidR="005E737B">
        <w:rPr>
          <w:b/>
          <w:bCs/>
          <w:i/>
          <w:iCs/>
          <w:sz w:val="22"/>
          <w:szCs w:val="22"/>
          <w:lang w:val="en-GB"/>
        </w:rPr>
        <w:t>(</w:t>
      </w:r>
      <w:r w:rsidR="005E737B">
        <w:rPr>
          <w:b/>
          <w:bCs/>
          <w:i/>
          <w:iCs/>
          <w:sz w:val="22"/>
          <w:szCs w:val="22"/>
          <w:lang w:val="en-US"/>
        </w:rPr>
        <w:t>NPO</w:t>
      </w:r>
      <w:r w:rsidR="005E737B" w:rsidRPr="00B14158">
        <w:rPr>
          <w:b/>
          <w:bCs/>
          <w:i/>
          <w:iCs/>
          <w:sz w:val="22"/>
          <w:szCs w:val="22"/>
          <w:lang w:val="en-US"/>
        </w:rPr>
        <w:t xml:space="preserve"> Sector </w:t>
      </w:r>
      <w:r w:rsidR="005E737B">
        <w:rPr>
          <w:b/>
          <w:bCs/>
          <w:i/>
          <w:iCs/>
          <w:sz w:val="22"/>
          <w:szCs w:val="22"/>
          <w:lang w:val="en-US"/>
        </w:rPr>
        <w:t>Standard</w:t>
      </w:r>
      <w:r w:rsidR="005E737B">
        <w:rPr>
          <w:b/>
          <w:bCs/>
          <w:i/>
          <w:iCs/>
          <w:sz w:val="22"/>
          <w:szCs w:val="22"/>
          <w:lang w:val="en-GB"/>
        </w:rPr>
        <w:t>)</w:t>
      </w:r>
    </w:p>
    <w:p w14:paraId="6E446D5F" w14:textId="4FFC83B6" w:rsidR="006C5157" w:rsidRPr="00B14158" w:rsidRDefault="006C5157" w:rsidP="007E77E7">
      <w:pPr>
        <w:spacing w:after="0"/>
        <w:rPr>
          <w:sz w:val="22"/>
          <w:szCs w:val="22"/>
          <w:lang w:val="en-GB"/>
        </w:rPr>
      </w:pPr>
      <w:r w:rsidRPr="00B14158">
        <w:rPr>
          <w:sz w:val="22"/>
          <w:szCs w:val="22"/>
          <w:lang w:val="en-GB"/>
        </w:rPr>
        <w:t xml:space="preserve">In recent years, regular consultations have taken place between the Dutch Banking Association (NVB), De Nederlandsche Bank, the Ministry of Finance, the (major) banks and a delegation from our </w:t>
      </w:r>
      <w:r w:rsidR="005E737B" w:rsidRPr="00B14158">
        <w:rPr>
          <w:sz w:val="22"/>
          <w:szCs w:val="22"/>
          <w:lang w:val="en-GB"/>
        </w:rPr>
        <w:t xml:space="preserve">CSO </w:t>
      </w:r>
      <w:r w:rsidRPr="00B14158">
        <w:rPr>
          <w:sz w:val="22"/>
          <w:szCs w:val="22"/>
          <w:lang w:val="en-GB"/>
        </w:rPr>
        <w:t>sector to draw up a list of criteria that can serve to mitigate risk</w:t>
      </w:r>
      <w:r w:rsidR="005E737B" w:rsidRPr="00B14158">
        <w:rPr>
          <w:sz w:val="22"/>
          <w:szCs w:val="22"/>
          <w:lang w:val="en-GB"/>
        </w:rPr>
        <w:t xml:space="preserve">, like for example </w:t>
      </w:r>
      <w:r w:rsidRPr="00B14158">
        <w:rPr>
          <w:sz w:val="22"/>
          <w:szCs w:val="22"/>
          <w:lang w:val="en-GB"/>
        </w:rPr>
        <w:t xml:space="preserve">a recognition/quality mark or a limited annual turnover. </w:t>
      </w:r>
    </w:p>
    <w:p w14:paraId="4019D863" w14:textId="77777777" w:rsidR="007E77E7" w:rsidRPr="00B14158" w:rsidRDefault="007E77E7" w:rsidP="007E77E7">
      <w:pPr>
        <w:spacing w:after="0"/>
        <w:rPr>
          <w:sz w:val="22"/>
          <w:szCs w:val="22"/>
          <w:lang w:val="en-GB"/>
        </w:rPr>
      </w:pPr>
    </w:p>
    <w:p w14:paraId="5224C4A1" w14:textId="717567BE" w:rsidR="006C5157" w:rsidRPr="00B14158" w:rsidRDefault="006C5157" w:rsidP="007E77E7">
      <w:pPr>
        <w:spacing w:after="0"/>
        <w:rPr>
          <w:sz w:val="22"/>
          <w:szCs w:val="22"/>
          <w:lang w:val="en-GB"/>
        </w:rPr>
      </w:pPr>
      <w:r w:rsidRPr="00B14158">
        <w:rPr>
          <w:sz w:val="22"/>
          <w:szCs w:val="22"/>
          <w:lang w:val="en-GB"/>
        </w:rPr>
        <w:t xml:space="preserve">On </w:t>
      </w:r>
      <w:r w:rsidR="005E737B" w:rsidRPr="00B14158">
        <w:rPr>
          <w:sz w:val="22"/>
          <w:szCs w:val="22"/>
          <w:lang w:val="en-GB"/>
        </w:rPr>
        <w:t xml:space="preserve">the </w:t>
      </w:r>
      <w:r w:rsidRPr="00B14158">
        <w:rPr>
          <w:sz w:val="22"/>
          <w:szCs w:val="22"/>
          <w:lang w:val="en-GB"/>
        </w:rPr>
        <w:t>31</w:t>
      </w:r>
      <w:r w:rsidR="005E737B" w:rsidRPr="00B14158">
        <w:rPr>
          <w:sz w:val="22"/>
          <w:szCs w:val="22"/>
          <w:vertAlign w:val="superscript"/>
          <w:lang w:val="en-GB"/>
        </w:rPr>
        <w:t>st</w:t>
      </w:r>
      <w:r w:rsidR="005E737B" w:rsidRPr="00B14158">
        <w:rPr>
          <w:sz w:val="22"/>
          <w:szCs w:val="22"/>
          <w:lang w:val="en-GB"/>
        </w:rPr>
        <w:t xml:space="preserve"> of</w:t>
      </w:r>
      <w:r w:rsidRPr="00B14158">
        <w:rPr>
          <w:sz w:val="22"/>
          <w:szCs w:val="22"/>
          <w:lang w:val="en-GB"/>
        </w:rPr>
        <w:t xml:space="preserve"> May 2023, the NVB published five standards that provide guidelines for banks to perform their role as gatekeepers in a proportionate manner and with a focus on the real risks. This should make it easier for bona fide customers to open a bank account and reduce the number of difficult questions they receive from their bank.  </w:t>
      </w:r>
    </w:p>
    <w:p w14:paraId="4C217D96" w14:textId="77777777" w:rsidR="007E77E7" w:rsidRPr="00B14158" w:rsidRDefault="007E77E7" w:rsidP="007E77E7">
      <w:pPr>
        <w:pStyle w:val="paragraph"/>
        <w:spacing w:before="0" w:beforeAutospacing="0" w:after="0" w:afterAutospacing="0"/>
        <w:textAlignment w:val="baseline"/>
        <w:rPr>
          <w:rFonts w:asciiTheme="minorHAnsi" w:hAnsiTheme="minorHAnsi"/>
          <w:sz w:val="22"/>
          <w:szCs w:val="22"/>
          <w:lang w:val="en-GB"/>
        </w:rPr>
      </w:pPr>
    </w:p>
    <w:p w14:paraId="5318ED5E" w14:textId="6EF6EDAB" w:rsidR="00683DCF" w:rsidRPr="00B14158" w:rsidRDefault="006C5157" w:rsidP="007E77E7">
      <w:pPr>
        <w:pStyle w:val="paragraph"/>
        <w:spacing w:before="0" w:beforeAutospacing="0" w:after="0" w:afterAutospacing="0"/>
        <w:textAlignment w:val="baseline"/>
        <w:rPr>
          <w:rFonts w:asciiTheme="minorHAnsi" w:hAnsiTheme="minorHAnsi" w:cs="Calibri"/>
          <w:sz w:val="22"/>
          <w:szCs w:val="22"/>
          <w:lang w:val="en-GB"/>
        </w:rPr>
      </w:pPr>
      <w:r w:rsidRPr="00B14158">
        <w:rPr>
          <w:rFonts w:asciiTheme="minorHAnsi" w:hAnsiTheme="minorHAnsi"/>
          <w:sz w:val="22"/>
          <w:szCs w:val="22"/>
          <w:lang w:val="en-GB"/>
        </w:rPr>
        <w:t xml:space="preserve">On </w:t>
      </w:r>
      <w:r w:rsidR="005E737B" w:rsidRPr="00B14158">
        <w:rPr>
          <w:rFonts w:asciiTheme="minorHAnsi" w:hAnsiTheme="minorHAnsi"/>
          <w:sz w:val="22"/>
          <w:szCs w:val="22"/>
          <w:lang w:val="en-GB"/>
        </w:rPr>
        <w:t xml:space="preserve">the </w:t>
      </w:r>
      <w:r w:rsidRPr="00B14158">
        <w:rPr>
          <w:rFonts w:asciiTheme="minorHAnsi" w:hAnsiTheme="minorHAnsi"/>
          <w:sz w:val="22"/>
          <w:szCs w:val="22"/>
          <w:lang w:val="en-GB"/>
        </w:rPr>
        <w:t>2</w:t>
      </w:r>
      <w:r w:rsidR="005E737B" w:rsidRPr="00B14158">
        <w:rPr>
          <w:rFonts w:asciiTheme="minorHAnsi" w:hAnsiTheme="minorHAnsi"/>
          <w:sz w:val="22"/>
          <w:szCs w:val="22"/>
          <w:vertAlign w:val="superscript"/>
          <w:lang w:val="en-GB"/>
        </w:rPr>
        <w:t>nd</w:t>
      </w:r>
      <w:r w:rsidR="005E737B" w:rsidRPr="00B14158">
        <w:rPr>
          <w:rFonts w:asciiTheme="minorHAnsi" w:hAnsiTheme="minorHAnsi"/>
          <w:sz w:val="22"/>
          <w:szCs w:val="22"/>
          <w:lang w:val="en-GB"/>
        </w:rPr>
        <w:t xml:space="preserve"> of</w:t>
      </w:r>
      <w:r w:rsidRPr="00B14158">
        <w:rPr>
          <w:rFonts w:asciiTheme="minorHAnsi" w:hAnsiTheme="minorHAnsi"/>
          <w:sz w:val="22"/>
          <w:szCs w:val="22"/>
          <w:lang w:val="en-GB"/>
        </w:rPr>
        <w:t xml:space="preserve"> September 2023, the NVB standard for the non-profit sector was published</w:t>
      </w:r>
      <w:r w:rsidR="00432B91">
        <w:rPr>
          <w:rStyle w:val="Voetnootmarkering"/>
          <w:rFonts w:asciiTheme="minorHAnsi" w:hAnsiTheme="minorHAnsi"/>
          <w:sz w:val="22"/>
          <w:szCs w:val="22"/>
          <w:lang w:val="en-GB"/>
        </w:rPr>
        <w:footnoteReference w:id="3"/>
      </w:r>
      <w:r w:rsidRPr="00B14158">
        <w:rPr>
          <w:rFonts w:asciiTheme="minorHAnsi" w:hAnsiTheme="minorHAnsi"/>
          <w:sz w:val="22"/>
          <w:szCs w:val="22"/>
          <w:lang w:val="en-GB"/>
        </w:rPr>
        <w:t xml:space="preserve">. Goede Doelen Nederland, together with the broader sector, provided input for this standard. An important result is that having CBF accreditation </w:t>
      </w:r>
      <w:r w:rsidR="005E737B" w:rsidRPr="00B14158">
        <w:rPr>
          <w:rFonts w:asciiTheme="minorHAnsi" w:hAnsiTheme="minorHAnsi"/>
          <w:sz w:val="22"/>
          <w:szCs w:val="22"/>
          <w:lang w:val="en-GB"/>
        </w:rPr>
        <w:t xml:space="preserve">as an CSO </w:t>
      </w:r>
      <w:r w:rsidRPr="00B14158">
        <w:rPr>
          <w:rFonts w:asciiTheme="minorHAnsi" w:hAnsiTheme="minorHAnsi"/>
          <w:sz w:val="22"/>
          <w:szCs w:val="22"/>
          <w:lang w:val="en-GB"/>
        </w:rPr>
        <w:t>is considered to mitigate risk.</w:t>
      </w:r>
      <w:r w:rsidR="00683DCF" w:rsidRPr="00B14158">
        <w:rPr>
          <w:rFonts w:asciiTheme="minorHAnsi" w:hAnsiTheme="minorHAnsi"/>
          <w:sz w:val="22"/>
          <w:szCs w:val="22"/>
          <w:lang w:val="en-GB"/>
        </w:rPr>
        <w:t xml:space="preserve"> </w:t>
      </w:r>
      <w:r w:rsidR="00683DCF" w:rsidRPr="00B14158">
        <w:rPr>
          <w:rFonts w:asciiTheme="minorHAnsi" w:hAnsiTheme="minorHAnsi" w:cs="Calibri"/>
          <w:sz w:val="22"/>
          <w:szCs w:val="22"/>
          <w:lang w:val="en-GB"/>
        </w:rPr>
        <w:t xml:space="preserve">This baseline was developed after the Dutch Central Bank realised their AML/CFT supervisory approach was not risk-based enough. It was leading to the derisking of certain classes of customers, </w:t>
      </w:r>
      <w:r w:rsidR="005E737B" w:rsidRPr="00B14158">
        <w:rPr>
          <w:rFonts w:asciiTheme="minorHAnsi" w:hAnsiTheme="minorHAnsi" w:cs="Calibri"/>
          <w:sz w:val="22"/>
          <w:szCs w:val="22"/>
          <w:lang w:val="en-GB"/>
        </w:rPr>
        <w:t xml:space="preserve">CSOs </w:t>
      </w:r>
      <w:r w:rsidR="00683DCF" w:rsidRPr="00B14158">
        <w:rPr>
          <w:rFonts w:asciiTheme="minorHAnsi" w:hAnsiTheme="minorHAnsi" w:cs="Calibri"/>
          <w:sz w:val="22"/>
          <w:szCs w:val="22"/>
          <w:lang w:val="en-GB"/>
        </w:rPr>
        <w:t xml:space="preserve">among them, and was not the most effective in keeping the financial sector free from financial crime. The NPO </w:t>
      </w:r>
      <w:r w:rsidR="005E737B" w:rsidRPr="00B14158">
        <w:rPr>
          <w:rFonts w:asciiTheme="minorHAnsi" w:hAnsiTheme="minorHAnsi" w:cs="Calibri"/>
          <w:sz w:val="22"/>
          <w:szCs w:val="22"/>
          <w:lang w:val="en-GB"/>
        </w:rPr>
        <w:t xml:space="preserve">sector standard </w:t>
      </w:r>
      <w:r w:rsidR="00683DCF" w:rsidRPr="00B14158">
        <w:rPr>
          <w:rFonts w:asciiTheme="minorHAnsi" w:hAnsiTheme="minorHAnsi" w:cs="Calibri"/>
          <w:sz w:val="22"/>
          <w:szCs w:val="22"/>
          <w:lang w:val="en-GB"/>
        </w:rPr>
        <w:t>lays out both risk enhancing and risk mitigating factors for transactions</w:t>
      </w:r>
      <w:r w:rsidR="005E737B" w:rsidRPr="00B14158">
        <w:rPr>
          <w:rFonts w:asciiTheme="minorHAnsi" w:hAnsiTheme="minorHAnsi" w:cs="Calibri"/>
          <w:sz w:val="22"/>
          <w:szCs w:val="22"/>
          <w:lang w:val="en-GB"/>
        </w:rPr>
        <w:t xml:space="preserve"> of non-profit organisations</w:t>
      </w:r>
      <w:r w:rsidR="00683DCF" w:rsidRPr="00B14158">
        <w:rPr>
          <w:rFonts w:asciiTheme="minorHAnsi" w:hAnsiTheme="minorHAnsi" w:cs="Calibri"/>
          <w:sz w:val="22"/>
          <w:szCs w:val="22"/>
          <w:lang w:val="en-GB"/>
        </w:rPr>
        <w:t xml:space="preserve">. Banks are initially meant to see </w:t>
      </w:r>
      <w:r w:rsidR="005E737B" w:rsidRPr="00B14158">
        <w:rPr>
          <w:rFonts w:asciiTheme="minorHAnsi" w:hAnsiTheme="minorHAnsi" w:cs="Calibri"/>
          <w:sz w:val="22"/>
          <w:szCs w:val="22"/>
          <w:lang w:val="en-GB"/>
        </w:rPr>
        <w:t>non-profit organisations</w:t>
      </w:r>
      <w:r w:rsidR="00683DCF" w:rsidRPr="00B14158">
        <w:rPr>
          <w:rFonts w:asciiTheme="minorHAnsi" w:hAnsiTheme="minorHAnsi" w:cs="Calibri"/>
          <w:sz w:val="22"/>
          <w:szCs w:val="22"/>
          <w:lang w:val="en-GB"/>
        </w:rPr>
        <w:t xml:space="preserve"> as neutral (as opposed to before, when the entire sector was seen as high-risk) and would then apply a risk lens to do ‘</w:t>
      </w:r>
      <w:proofErr w:type="gramStart"/>
      <w:r w:rsidR="00683DCF" w:rsidRPr="00B14158">
        <w:rPr>
          <w:rFonts w:asciiTheme="minorHAnsi" w:hAnsiTheme="minorHAnsi" w:cs="Calibri"/>
          <w:sz w:val="22"/>
          <w:szCs w:val="22"/>
          <w:lang w:val="en-GB"/>
        </w:rPr>
        <w:t>more</w:t>
      </w:r>
      <w:proofErr w:type="gramEnd"/>
      <w:r w:rsidR="00683DCF" w:rsidRPr="00B14158">
        <w:rPr>
          <w:rFonts w:asciiTheme="minorHAnsi" w:hAnsiTheme="minorHAnsi" w:cs="Calibri"/>
          <w:sz w:val="22"/>
          <w:szCs w:val="22"/>
          <w:lang w:val="en-GB"/>
        </w:rPr>
        <w:t xml:space="preserve"> if necessary, less if possible’ in terms of due diligence.</w:t>
      </w:r>
    </w:p>
    <w:p w14:paraId="479A94B1" w14:textId="77777777" w:rsidR="0053407D" w:rsidRPr="00B14158" w:rsidRDefault="0053407D" w:rsidP="007E77E7">
      <w:pPr>
        <w:spacing w:after="0"/>
        <w:rPr>
          <w:sz w:val="22"/>
          <w:szCs w:val="22"/>
          <w:lang w:val="en-GB"/>
        </w:rPr>
      </w:pPr>
    </w:p>
    <w:p w14:paraId="762436FB" w14:textId="3E462EFF" w:rsidR="007908B7" w:rsidRPr="00B14158" w:rsidRDefault="007908B7" w:rsidP="007E77E7">
      <w:pPr>
        <w:spacing w:after="0"/>
        <w:rPr>
          <w:sz w:val="22"/>
          <w:szCs w:val="22"/>
          <w:lang w:val="en-GB"/>
        </w:rPr>
      </w:pPr>
      <w:r w:rsidRPr="00B14158">
        <w:rPr>
          <w:sz w:val="22"/>
          <w:szCs w:val="22"/>
          <w:lang w:val="en-GB"/>
        </w:rPr>
        <w:t xml:space="preserve">As a result of the evaluation of the NPO </w:t>
      </w:r>
      <w:r w:rsidR="005E737B" w:rsidRPr="00B14158">
        <w:rPr>
          <w:sz w:val="22"/>
          <w:szCs w:val="22"/>
          <w:lang w:val="en-GB"/>
        </w:rPr>
        <w:t xml:space="preserve">sector </w:t>
      </w:r>
      <w:r w:rsidRPr="00B14158">
        <w:rPr>
          <w:sz w:val="22"/>
          <w:szCs w:val="22"/>
          <w:lang w:val="en-GB"/>
        </w:rPr>
        <w:t xml:space="preserve">standard in 2024, several adjustments were made by the NVB to </w:t>
      </w:r>
      <w:r w:rsidR="005E737B" w:rsidRPr="00B14158">
        <w:rPr>
          <w:sz w:val="22"/>
          <w:szCs w:val="22"/>
          <w:lang w:val="en-GB"/>
        </w:rPr>
        <w:t>s</w:t>
      </w:r>
      <w:r w:rsidRPr="00B14158">
        <w:rPr>
          <w:sz w:val="22"/>
          <w:szCs w:val="22"/>
          <w:lang w:val="en-GB"/>
        </w:rPr>
        <w:t xml:space="preserve">tandard on </w:t>
      </w:r>
      <w:r w:rsidR="005E737B" w:rsidRPr="00B14158">
        <w:rPr>
          <w:sz w:val="22"/>
          <w:szCs w:val="22"/>
          <w:lang w:val="en-GB"/>
        </w:rPr>
        <w:t xml:space="preserve">the </w:t>
      </w:r>
      <w:r w:rsidRPr="00B14158">
        <w:rPr>
          <w:sz w:val="22"/>
          <w:szCs w:val="22"/>
          <w:lang w:val="en-GB"/>
        </w:rPr>
        <w:t>18</w:t>
      </w:r>
      <w:r w:rsidR="005E737B" w:rsidRPr="00B14158">
        <w:rPr>
          <w:sz w:val="22"/>
          <w:szCs w:val="22"/>
          <w:vertAlign w:val="superscript"/>
          <w:lang w:val="en-GB"/>
        </w:rPr>
        <w:t>th</w:t>
      </w:r>
      <w:r w:rsidR="005E737B" w:rsidRPr="00B14158">
        <w:rPr>
          <w:sz w:val="22"/>
          <w:szCs w:val="22"/>
          <w:lang w:val="en-GB"/>
        </w:rPr>
        <w:t xml:space="preserve"> of</w:t>
      </w:r>
      <w:r w:rsidRPr="00B14158">
        <w:rPr>
          <w:sz w:val="22"/>
          <w:szCs w:val="22"/>
          <w:lang w:val="en-GB"/>
        </w:rPr>
        <w:t xml:space="preserve"> </w:t>
      </w:r>
      <w:proofErr w:type="gramStart"/>
      <w:r w:rsidRPr="00B14158">
        <w:rPr>
          <w:sz w:val="22"/>
          <w:szCs w:val="22"/>
          <w:lang w:val="en-GB"/>
        </w:rPr>
        <w:t>April</w:t>
      </w:r>
      <w:r w:rsidR="005E737B" w:rsidRPr="00B14158">
        <w:rPr>
          <w:sz w:val="22"/>
          <w:szCs w:val="22"/>
          <w:lang w:val="en-GB"/>
        </w:rPr>
        <w:t>,</w:t>
      </w:r>
      <w:proofErr w:type="gramEnd"/>
      <w:r w:rsidRPr="00B14158">
        <w:rPr>
          <w:sz w:val="22"/>
          <w:szCs w:val="22"/>
          <w:lang w:val="en-GB"/>
        </w:rPr>
        <w:t xml:space="preserve"> 2025. The revised NPO </w:t>
      </w:r>
      <w:r w:rsidR="005E737B" w:rsidRPr="00B14158">
        <w:rPr>
          <w:sz w:val="22"/>
          <w:szCs w:val="22"/>
          <w:lang w:val="en-GB"/>
        </w:rPr>
        <w:t>s</w:t>
      </w:r>
      <w:r w:rsidRPr="00B14158">
        <w:rPr>
          <w:sz w:val="22"/>
          <w:szCs w:val="22"/>
          <w:lang w:val="en-GB"/>
        </w:rPr>
        <w:t xml:space="preserve">ector </w:t>
      </w:r>
      <w:r w:rsidR="005E737B" w:rsidRPr="00B14158">
        <w:rPr>
          <w:sz w:val="22"/>
          <w:szCs w:val="22"/>
          <w:lang w:val="en-GB"/>
        </w:rPr>
        <w:t>s</w:t>
      </w:r>
      <w:r w:rsidRPr="00B14158">
        <w:rPr>
          <w:sz w:val="22"/>
          <w:szCs w:val="22"/>
          <w:lang w:val="en-GB"/>
        </w:rPr>
        <w:t xml:space="preserve">tandard clarifies that if an association has an annual turnover of no more than €100,000 and its activities take place almost exclusively in the Netherlands with sporadic transactions with EU countries, this should be seen as a risk-reducing factor in customer due diligence. The adjustments should lead to greater clarity and less administrative burden for smaller </w:t>
      </w:r>
      <w:r w:rsidR="00C42C79" w:rsidRPr="00B14158">
        <w:rPr>
          <w:sz w:val="22"/>
          <w:szCs w:val="22"/>
          <w:lang w:val="en-GB"/>
        </w:rPr>
        <w:t>CSOs</w:t>
      </w:r>
      <w:r w:rsidRPr="00B14158">
        <w:rPr>
          <w:sz w:val="22"/>
          <w:szCs w:val="22"/>
          <w:lang w:val="en-GB"/>
        </w:rPr>
        <w:t xml:space="preserve">. We welcome these changes. We also see room for further improvement. We will continue to discuss this and will conduct further research into the impact of de-risking on </w:t>
      </w:r>
      <w:r w:rsidR="007F10CA" w:rsidRPr="00B14158">
        <w:rPr>
          <w:sz w:val="22"/>
          <w:szCs w:val="22"/>
          <w:lang w:val="en-GB"/>
        </w:rPr>
        <w:t>CSOs</w:t>
      </w:r>
      <w:r w:rsidRPr="00B14158">
        <w:rPr>
          <w:sz w:val="22"/>
          <w:szCs w:val="22"/>
          <w:lang w:val="en-GB"/>
        </w:rPr>
        <w:t xml:space="preserve">. </w:t>
      </w:r>
    </w:p>
    <w:p w14:paraId="310AA279" w14:textId="77777777" w:rsidR="007E77E7" w:rsidRPr="00B14158" w:rsidRDefault="007E77E7" w:rsidP="007E77E7">
      <w:pPr>
        <w:spacing w:after="0"/>
        <w:rPr>
          <w:sz w:val="22"/>
          <w:szCs w:val="22"/>
          <w:lang w:val="en-GB"/>
        </w:rPr>
      </w:pPr>
    </w:p>
    <w:p w14:paraId="2AC53B5C" w14:textId="3C7A0B27" w:rsidR="007908B7" w:rsidRPr="00B14158" w:rsidRDefault="007908B7" w:rsidP="007E77E7">
      <w:pPr>
        <w:spacing w:after="0"/>
        <w:rPr>
          <w:sz w:val="22"/>
          <w:szCs w:val="22"/>
          <w:lang w:val="en-GB"/>
        </w:rPr>
      </w:pPr>
      <w:r w:rsidRPr="00B14158">
        <w:rPr>
          <w:sz w:val="22"/>
          <w:szCs w:val="22"/>
          <w:lang w:val="en-GB"/>
        </w:rPr>
        <w:t xml:space="preserve">Problems are also being encountered with payment institutions (such as Mollie). The sector standard does not apply to payment institutions. We have raised this issue with the Social Consultation on Payment </w:t>
      </w:r>
      <w:proofErr w:type="gramStart"/>
      <w:r w:rsidRPr="00B14158">
        <w:rPr>
          <w:sz w:val="22"/>
          <w:szCs w:val="22"/>
          <w:lang w:val="en-GB"/>
        </w:rPr>
        <w:t>Transactions</w:t>
      </w:r>
      <w:proofErr w:type="gramEnd"/>
      <w:r w:rsidRPr="00B14158">
        <w:rPr>
          <w:sz w:val="22"/>
          <w:szCs w:val="22"/>
          <w:lang w:val="en-GB"/>
        </w:rPr>
        <w:t xml:space="preserve"> and an initial meeting has been held with the United Payment Institutions Netherlands (VBIN). This will be followed up.</w:t>
      </w:r>
    </w:p>
    <w:p w14:paraId="160E4FDD" w14:textId="63A91F02" w:rsidR="00C946AA" w:rsidRPr="00B14158" w:rsidRDefault="007F10CA" w:rsidP="007E77E7">
      <w:pPr>
        <w:spacing w:after="0"/>
        <w:rPr>
          <w:sz w:val="22"/>
          <w:szCs w:val="22"/>
          <w:lang w:val="en-GB"/>
        </w:rPr>
      </w:pPr>
      <w:r w:rsidRPr="00B14158">
        <w:rPr>
          <w:sz w:val="22"/>
          <w:szCs w:val="22"/>
          <w:lang w:val="en-GB"/>
        </w:rPr>
        <w:t>Goede Doelen Nederland has</w:t>
      </w:r>
      <w:r w:rsidR="00C946AA" w:rsidRPr="00B14158">
        <w:rPr>
          <w:sz w:val="22"/>
          <w:szCs w:val="22"/>
          <w:lang w:val="en-GB"/>
        </w:rPr>
        <w:t xml:space="preserve"> provided </w:t>
      </w:r>
      <w:r w:rsidRPr="00B14158">
        <w:rPr>
          <w:sz w:val="22"/>
          <w:szCs w:val="22"/>
          <w:lang w:val="en-GB"/>
        </w:rPr>
        <w:t xml:space="preserve">input </w:t>
      </w:r>
      <w:r w:rsidR="00C946AA" w:rsidRPr="00B14158">
        <w:rPr>
          <w:sz w:val="22"/>
          <w:szCs w:val="22"/>
          <w:lang w:val="en-GB"/>
        </w:rPr>
        <w:t xml:space="preserve">on the consultation on the Implementation Act to prevent money laundering and terrorist financing. Goede Doelen Nederland continues to insist on appropriate risk-based monitoring of CBF-accredited </w:t>
      </w:r>
      <w:r w:rsidR="00185A48" w:rsidRPr="00B14158">
        <w:rPr>
          <w:sz w:val="22"/>
          <w:szCs w:val="22"/>
          <w:lang w:val="en-GB"/>
        </w:rPr>
        <w:t>CSOs</w:t>
      </w:r>
      <w:r w:rsidR="00C946AA" w:rsidRPr="00B14158">
        <w:rPr>
          <w:sz w:val="22"/>
          <w:szCs w:val="22"/>
          <w:lang w:val="en-GB"/>
        </w:rPr>
        <w:t xml:space="preserve">. We also believe that </w:t>
      </w:r>
      <w:r w:rsidR="00C946AA" w:rsidRPr="00B14158">
        <w:rPr>
          <w:sz w:val="22"/>
          <w:szCs w:val="22"/>
          <w:lang w:val="en-GB"/>
        </w:rPr>
        <w:lastRenderedPageBreak/>
        <w:t xml:space="preserve">associations and foundations that act in the public interest and meet transparency requirements (ANBI/CBF) should not be subject to UBO obligations. </w:t>
      </w:r>
    </w:p>
    <w:p w14:paraId="5B7D7223" w14:textId="77777777" w:rsidR="007E77E7" w:rsidRDefault="007E77E7" w:rsidP="007E77E7">
      <w:pPr>
        <w:spacing w:after="0"/>
        <w:rPr>
          <w:b/>
          <w:bCs/>
          <w:i/>
          <w:iCs/>
          <w:sz w:val="22"/>
          <w:szCs w:val="22"/>
          <w:lang w:val="en-GB"/>
        </w:rPr>
      </w:pPr>
    </w:p>
    <w:p w14:paraId="19A0874F" w14:textId="6D1F0E88" w:rsidR="00C946AA" w:rsidRPr="00745295" w:rsidRDefault="00C946AA" w:rsidP="007E77E7">
      <w:pPr>
        <w:spacing w:after="0"/>
        <w:rPr>
          <w:b/>
          <w:bCs/>
          <w:i/>
          <w:iCs/>
          <w:sz w:val="22"/>
          <w:szCs w:val="22"/>
          <w:lang w:val="en-GB"/>
        </w:rPr>
      </w:pPr>
      <w:r w:rsidRPr="00745295">
        <w:rPr>
          <w:b/>
          <w:bCs/>
          <w:i/>
          <w:iCs/>
          <w:sz w:val="22"/>
          <w:szCs w:val="22"/>
          <w:lang w:val="en-GB"/>
        </w:rPr>
        <w:t>Europe</w:t>
      </w:r>
      <w:r w:rsidR="00185A48" w:rsidRPr="00745295">
        <w:rPr>
          <w:b/>
          <w:bCs/>
          <w:i/>
          <w:iCs/>
          <w:sz w:val="22"/>
          <w:szCs w:val="22"/>
          <w:lang w:val="en-GB"/>
        </w:rPr>
        <w:t>an deve</w:t>
      </w:r>
      <w:r w:rsidR="001168DE" w:rsidRPr="00745295">
        <w:rPr>
          <w:b/>
          <w:bCs/>
          <w:i/>
          <w:iCs/>
          <w:sz w:val="22"/>
          <w:szCs w:val="22"/>
          <w:lang w:val="en-GB"/>
        </w:rPr>
        <w:t>lopments</w:t>
      </w:r>
    </w:p>
    <w:p w14:paraId="6F0870D1" w14:textId="74DDDD9E" w:rsidR="00C946AA" w:rsidRPr="00745295" w:rsidRDefault="00C946AA" w:rsidP="00B14158">
      <w:pPr>
        <w:spacing w:after="0"/>
        <w:rPr>
          <w:b/>
          <w:bCs/>
          <w:i/>
          <w:iCs/>
          <w:sz w:val="22"/>
          <w:szCs w:val="22"/>
          <w:lang w:val="en-GB"/>
        </w:rPr>
      </w:pPr>
      <w:r w:rsidRPr="00745295">
        <w:rPr>
          <w:b/>
          <w:bCs/>
          <w:i/>
          <w:iCs/>
          <w:sz w:val="22"/>
          <w:szCs w:val="22"/>
          <w:lang w:val="en-GB"/>
        </w:rPr>
        <w:t>EU-AMLR package</w:t>
      </w:r>
    </w:p>
    <w:p w14:paraId="4079C3DB" w14:textId="3533FC55" w:rsidR="004069AC" w:rsidRPr="00B14158" w:rsidRDefault="004069AC" w:rsidP="007E77E7">
      <w:pPr>
        <w:pStyle w:val="paragraph"/>
        <w:spacing w:before="0" w:beforeAutospacing="0" w:after="0" w:afterAutospacing="0"/>
        <w:textAlignment w:val="baseline"/>
        <w:rPr>
          <w:rFonts w:asciiTheme="minorHAnsi" w:hAnsiTheme="minorHAnsi" w:cs="Calibri"/>
          <w:sz w:val="22"/>
          <w:szCs w:val="22"/>
          <w:lang w:val="en-GB"/>
        </w:rPr>
      </w:pPr>
      <w:r w:rsidRPr="00B14158">
        <w:rPr>
          <w:rFonts w:asciiTheme="minorHAnsi" w:hAnsiTheme="minorHAnsi" w:cs="Calibri"/>
          <w:sz w:val="22"/>
          <w:szCs w:val="22"/>
          <w:lang w:val="en-GB"/>
        </w:rPr>
        <w:t xml:space="preserve">Under the new package, obliged entities will be required to apply more rigorous customer due diligence measures. We fear this will aggravate financial exclusion of </w:t>
      </w:r>
      <w:r w:rsidR="001168DE" w:rsidRPr="00B14158">
        <w:rPr>
          <w:rFonts w:asciiTheme="minorHAnsi" w:hAnsiTheme="minorHAnsi" w:cs="Calibri"/>
          <w:sz w:val="22"/>
          <w:szCs w:val="22"/>
          <w:lang w:val="en-GB"/>
        </w:rPr>
        <w:t>CSOs</w:t>
      </w:r>
      <w:r w:rsidRPr="00B14158">
        <w:rPr>
          <w:rFonts w:asciiTheme="minorHAnsi" w:hAnsiTheme="minorHAnsi" w:cs="Calibri"/>
          <w:sz w:val="22"/>
          <w:szCs w:val="22"/>
          <w:lang w:val="en-GB"/>
        </w:rPr>
        <w:t xml:space="preserve"> and reverse progress made. One example of such progress is the Netherlands’ Sector Industry Baseline for NPOs. </w:t>
      </w:r>
    </w:p>
    <w:p w14:paraId="6A108476" w14:textId="77777777" w:rsidR="006C4188" w:rsidRPr="00490591" w:rsidRDefault="006C4188" w:rsidP="007E77E7">
      <w:pPr>
        <w:pStyle w:val="paragraph"/>
        <w:spacing w:before="0" w:beforeAutospacing="0" w:after="0" w:afterAutospacing="0"/>
        <w:textAlignment w:val="baseline"/>
        <w:rPr>
          <w:rFonts w:asciiTheme="minorHAnsi" w:hAnsiTheme="minorHAnsi" w:cs="Calibri"/>
          <w:sz w:val="22"/>
          <w:szCs w:val="22"/>
          <w:lang w:val="en-GB"/>
        </w:rPr>
      </w:pPr>
    </w:p>
    <w:p w14:paraId="406A79F9" w14:textId="30F92421" w:rsidR="004069AC" w:rsidRPr="00490591" w:rsidRDefault="004069AC" w:rsidP="007E77E7">
      <w:pPr>
        <w:pStyle w:val="paragraph"/>
        <w:spacing w:before="0" w:beforeAutospacing="0" w:after="0" w:afterAutospacing="0"/>
        <w:textAlignment w:val="baseline"/>
        <w:rPr>
          <w:rFonts w:asciiTheme="minorHAnsi" w:hAnsiTheme="minorHAnsi" w:cs="Calibri"/>
          <w:b/>
          <w:bCs/>
          <w:sz w:val="22"/>
          <w:szCs w:val="22"/>
          <w:lang w:val="en-GB"/>
        </w:rPr>
      </w:pPr>
      <w:r w:rsidRPr="00490591">
        <w:rPr>
          <w:rFonts w:asciiTheme="minorHAnsi" w:hAnsiTheme="minorHAnsi" w:cs="Calibri"/>
          <w:b/>
          <w:bCs/>
          <w:sz w:val="22"/>
          <w:szCs w:val="22"/>
          <w:lang w:val="en-GB"/>
        </w:rPr>
        <w:t>Identification of NPO beneficial owners</w:t>
      </w:r>
    </w:p>
    <w:p w14:paraId="264FA17D" w14:textId="4CDC1B2E" w:rsidR="00E87990" w:rsidRPr="00B14158" w:rsidRDefault="004069AC" w:rsidP="007E77E7">
      <w:pPr>
        <w:pStyle w:val="paragraph"/>
        <w:spacing w:before="0" w:beforeAutospacing="0" w:after="0" w:afterAutospacing="0"/>
        <w:textAlignment w:val="baseline"/>
        <w:rPr>
          <w:rFonts w:asciiTheme="minorHAnsi" w:hAnsiTheme="minorHAnsi" w:cs="Calibri"/>
          <w:sz w:val="22"/>
          <w:szCs w:val="22"/>
          <w:lang w:val="en-GB"/>
        </w:rPr>
      </w:pPr>
      <w:r w:rsidRPr="00B14158">
        <w:rPr>
          <w:rFonts w:asciiTheme="minorHAnsi" w:hAnsiTheme="minorHAnsi" w:cs="Calibri"/>
          <w:sz w:val="22"/>
          <w:szCs w:val="22"/>
          <w:lang w:val="en-GB"/>
        </w:rPr>
        <w:t xml:space="preserve">The concept of a beneficial owner as the one owning or benefiting financially does not fit the </w:t>
      </w:r>
      <w:r w:rsidR="006C4188" w:rsidRPr="00B14158">
        <w:rPr>
          <w:rFonts w:asciiTheme="minorHAnsi" w:hAnsiTheme="minorHAnsi" w:cs="Calibri"/>
          <w:sz w:val="22"/>
          <w:szCs w:val="22"/>
          <w:lang w:val="en-GB"/>
        </w:rPr>
        <w:t>CSO</w:t>
      </w:r>
      <w:r w:rsidRPr="00B14158">
        <w:rPr>
          <w:rFonts w:asciiTheme="minorHAnsi" w:hAnsiTheme="minorHAnsi" w:cs="Calibri"/>
          <w:sz w:val="22"/>
          <w:szCs w:val="22"/>
          <w:lang w:val="en-GB"/>
        </w:rPr>
        <w:t xml:space="preserve"> sector</w:t>
      </w:r>
      <w:r w:rsidR="000A5744" w:rsidRPr="00B14158">
        <w:rPr>
          <w:rFonts w:asciiTheme="minorHAnsi" w:hAnsiTheme="minorHAnsi" w:cs="Calibri"/>
          <w:sz w:val="22"/>
          <w:szCs w:val="22"/>
          <w:lang w:val="en-GB"/>
        </w:rPr>
        <w:t>,</w:t>
      </w:r>
      <w:r w:rsidRPr="00B14158">
        <w:rPr>
          <w:rFonts w:asciiTheme="minorHAnsi" w:hAnsiTheme="minorHAnsi" w:cs="Calibri"/>
          <w:sz w:val="22"/>
          <w:szCs w:val="22"/>
          <w:lang w:val="en-GB"/>
        </w:rPr>
        <w:t xml:space="preserve"> which explicitly does not serve private interests but public interests: the non-distribution principle is core to </w:t>
      </w:r>
      <w:r w:rsidR="006C4188" w:rsidRPr="00B14158">
        <w:rPr>
          <w:rFonts w:asciiTheme="minorHAnsi" w:hAnsiTheme="minorHAnsi" w:cs="Calibri"/>
          <w:sz w:val="22"/>
          <w:szCs w:val="22"/>
          <w:lang w:val="en-GB"/>
        </w:rPr>
        <w:t>CSOs</w:t>
      </w:r>
      <w:r w:rsidRPr="00B14158">
        <w:rPr>
          <w:rFonts w:asciiTheme="minorHAnsi" w:hAnsiTheme="minorHAnsi" w:cs="Calibri"/>
          <w:sz w:val="22"/>
          <w:szCs w:val="22"/>
          <w:lang w:val="en-GB"/>
        </w:rPr>
        <w:t xml:space="preserve"> and enshrined in statutory frameworks. </w:t>
      </w:r>
    </w:p>
    <w:p w14:paraId="217AA529" w14:textId="77777777" w:rsidR="00E87990" w:rsidRPr="00B14158" w:rsidRDefault="00E87990" w:rsidP="007E77E7">
      <w:pPr>
        <w:pStyle w:val="paragraph"/>
        <w:spacing w:before="0" w:beforeAutospacing="0" w:after="0" w:afterAutospacing="0"/>
        <w:textAlignment w:val="baseline"/>
        <w:rPr>
          <w:rFonts w:asciiTheme="minorHAnsi" w:hAnsiTheme="minorHAnsi" w:cs="Calibri"/>
          <w:sz w:val="22"/>
          <w:szCs w:val="22"/>
          <w:lang w:val="en-GB"/>
        </w:rPr>
      </w:pPr>
    </w:p>
    <w:p w14:paraId="6D3E4020" w14:textId="0AD6CECD" w:rsidR="000A5744" w:rsidRPr="00B14158" w:rsidRDefault="004069AC" w:rsidP="007E77E7">
      <w:pPr>
        <w:pStyle w:val="paragraph"/>
        <w:spacing w:before="0" w:beforeAutospacing="0" w:after="0" w:afterAutospacing="0"/>
        <w:textAlignment w:val="baseline"/>
        <w:rPr>
          <w:rFonts w:asciiTheme="minorHAnsi" w:hAnsiTheme="minorHAnsi" w:cs="Calibri"/>
          <w:sz w:val="22"/>
          <w:szCs w:val="22"/>
          <w:lang w:val="en-GB"/>
        </w:rPr>
      </w:pPr>
      <w:r w:rsidRPr="00B14158">
        <w:rPr>
          <w:rFonts w:asciiTheme="minorHAnsi" w:hAnsiTheme="minorHAnsi" w:cs="Calibri"/>
          <w:sz w:val="22"/>
          <w:szCs w:val="22"/>
          <w:lang w:val="en-GB"/>
        </w:rPr>
        <w:t xml:space="preserve">While the AMLR clarifies that beneficial ownership is based on two components – ownership and control – the new rules do not provide the desired clarity as to who the “beneficial owner” of an </w:t>
      </w:r>
      <w:r w:rsidR="004D091E" w:rsidRPr="00B14158">
        <w:rPr>
          <w:rFonts w:asciiTheme="minorHAnsi" w:hAnsiTheme="minorHAnsi" w:cs="Calibri"/>
          <w:sz w:val="22"/>
          <w:szCs w:val="22"/>
          <w:lang w:val="en-GB"/>
        </w:rPr>
        <w:t>NPO</w:t>
      </w:r>
      <w:r w:rsidRPr="00B14158">
        <w:rPr>
          <w:rFonts w:asciiTheme="minorHAnsi" w:hAnsiTheme="minorHAnsi" w:cs="Calibri"/>
          <w:sz w:val="22"/>
          <w:szCs w:val="22"/>
          <w:lang w:val="en-GB"/>
        </w:rPr>
        <w:t xml:space="preserve"> is. The identification of the beneficial owner and the verification of their identity </w:t>
      </w:r>
      <w:r w:rsidR="000A5744" w:rsidRPr="00B14158">
        <w:rPr>
          <w:rFonts w:asciiTheme="minorHAnsi" w:hAnsiTheme="minorHAnsi" w:cs="Calibri"/>
          <w:sz w:val="22"/>
          <w:szCs w:val="22"/>
          <w:lang w:val="en-GB"/>
        </w:rPr>
        <w:t xml:space="preserve">are </w:t>
      </w:r>
      <w:r w:rsidRPr="00B14158">
        <w:rPr>
          <w:rFonts w:asciiTheme="minorHAnsi" w:hAnsiTheme="minorHAnsi" w:cs="Calibri"/>
          <w:sz w:val="22"/>
          <w:szCs w:val="22"/>
          <w:lang w:val="en-GB"/>
        </w:rPr>
        <w:t xml:space="preserve">therefore expected to remain challenging, and for some categories of </w:t>
      </w:r>
      <w:r w:rsidR="004D091E" w:rsidRPr="00B14158">
        <w:rPr>
          <w:rFonts w:asciiTheme="minorHAnsi" w:hAnsiTheme="minorHAnsi" w:cs="Calibri"/>
          <w:sz w:val="22"/>
          <w:szCs w:val="22"/>
          <w:lang w:val="en-GB"/>
        </w:rPr>
        <w:t>NPO</w:t>
      </w:r>
      <w:r w:rsidR="00E87990" w:rsidRPr="00B14158">
        <w:rPr>
          <w:rFonts w:asciiTheme="minorHAnsi" w:hAnsiTheme="minorHAnsi" w:cs="Calibri"/>
          <w:sz w:val="22"/>
          <w:szCs w:val="22"/>
          <w:lang w:val="en-GB"/>
        </w:rPr>
        <w:t>s</w:t>
      </w:r>
      <w:r w:rsidRPr="00B14158">
        <w:rPr>
          <w:rFonts w:asciiTheme="minorHAnsi" w:hAnsiTheme="minorHAnsi" w:cs="Calibri"/>
          <w:sz w:val="22"/>
          <w:szCs w:val="22"/>
          <w:lang w:val="en-GB"/>
        </w:rPr>
        <w:t xml:space="preserve"> this may </w:t>
      </w:r>
      <w:r w:rsidR="000A5744" w:rsidRPr="00B14158">
        <w:rPr>
          <w:rFonts w:asciiTheme="minorHAnsi" w:hAnsiTheme="minorHAnsi" w:cs="Calibri"/>
          <w:sz w:val="22"/>
          <w:szCs w:val="22"/>
          <w:lang w:val="en-GB"/>
        </w:rPr>
        <w:t xml:space="preserve">even </w:t>
      </w:r>
      <w:r w:rsidRPr="00B14158">
        <w:rPr>
          <w:rFonts w:asciiTheme="minorHAnsi" w:hAnsiTheme="minorHAnsi" w:cs="Calibri"/>
          <w:sz w:val="22"/>
          <w:szCs w:val="22"/>
          <w:lang w:val="en-GB"/>
        </w:rPr>
        <w:t>become more cumbersome.</w:t>
      </w:r>
    </w:p>
    <w:p w14:paraId="1339A22F" w14:textId="77777777" w:rsidR="000A5744" w:rsidRPr="00B14158" w:rsidRDefault="000A5744" w:rsidP="007E77E7">
      <w:pPr>
        <w:pStyle w:val="paragraph"/>
        <w:spacing w:before="0" w:beforeAutospacing="0" w:after="0" w:afterAutospacing="0"/>
        <w:textAlignment w:val="baseline"/>
        <w:rPr>
          <w:rFonts w:asciiTheme="minorHAnsi" w:hAnsiTheme="minorHAnsi" w:cs="Calibri"/>
          <w:sz w:val="22"/>
          <w:szCs w:val="22"/>
          <w:lang w:val="en-GB"/>
        </w:rPr>
      </w:pPr>
    </w:p>
    <w:p w14:paraId="78D61D42" w14:textId="4A4D0D22" w:rsidR="000A5744" w:rsidRPr="00B14158" w:rsidRDefault="002934E9" w:rsidP="007E77E7">
      <w:pPr>
        <w:pStyle w:val="paragraph"/>
        <w:spacing w:before="0" w:beforeAutospacing="0" w:after="0" w:afterAutospacing="0"/>
        <w:textAlignment w:val="baseline"/>
        <w:rPr>
          <w:rFonts w:asciiTheme="minorHAnsi" w:hAnsiTheme="minorHAnsi" w:cs="Calibri"/>
          <w:sz w:val="22"/>
          <w:szCs w:val="22"/>
          <w:lang w:val="en-GB"/>
        </w:rPr>
      </w:pPr>
      <w:r w:rsidRPr="00B14158">
        <w:rPr>
          <w:rFonts w:asciiTheme="minorHAnsi" w:hAnsiTheme="minorHAnsi" w:cs="Calibri"/>
          <w:sz w:val="22"/>
          <w:szCs w:val="22"/>
          <w:lang w:val="en-GB"/>
        </w:rPr>
        <w:t>NPO</w:t>
      </w:r>
      <w:r w:rsidR="009422B0" w:rsidRPr="00B14158">
        <w:rPr>
          <w:rFonts w:asciiTheme="minorHAnsi" w:hAnsiTheme="minorHAnsi" w:cs="Calibri"/>
          <w:sz w:val="22"/>
          <w:szCs w:val="22"/>
          <w:lang w:val="en-GB"/>
        </w:rPr>
        <w:t>s</w:t>
      </w:r>
      <w:r w:rsidR="004069AC" w:rsidRPr="00B14158">
        <w:rPr>
          <w:rFonts w:asciiTheme="minorHAnsi" w:hAnsiTheme="minorHAnsi" w:cs="Calibri"/>
          <w:sz w:val="22"/>
          <w:szCs w:val="22"/>
          <w:lang w:val="en-GB"/>
        </w:rPr>
        <w:t xml:space="preserve"> similar to express trusts</w:t>
      </w:r>
      <w:r w:rsidR="000A5744" w:rsidRPr="00B14158">
        <w:rPr>
          <w:rFonts w:asciiTheme="minorHAnsi" w:hAnsiTheme="minorHAnsi" w:cs="Calibri"/>
          <w:sz w:val="22"/>
          <w:szCs w:val="22"/>
          <w:lang w:val="en-GB"/>
        </w:rPr>
        <w:t>, or</w:t>
      </w:r>
      <w:r w:rsidR="004069AC" w:rsidRPr="00B14158">
        <w:rPr>
          <w:rFonts w:asciiTheme="minorHAnsi" w:hAnsiTheme="minorHAnsi" w:cs="Calibri"/>
          <w:sz w:val="22"/>
          <w:szCs w:val="22"/>
          <w:lang w:val="en-GB"/>
        </w:rPr>
        <w:t xml:space="preserve"> constituted as express trusts and similar legal arrangements</w:t>
      </w:r>
      <w:r w:rsidR="000A5744" w:rsidRPr="00B14158">
        <w:rPr>
          <w:rFonts w:asciiTheme="minorHAnsi" w:hAnsiTheme="minorHAnsi" w:cs="Calibri"/>
          <w:sz w:val="22"/>
          <w:szCs w:val="22"/>
          <w:lang w:val="en-GB"/>
        </w:rPr>
        <w:t>,</w:t>
      </w:r>
      <w:r w:rsidR="004069AC" w:rsidRPr="00B14158">
        <w:rPr>
          <w:rFonts w:asciiTheme="minorHAnsi" w:hAnsiTheme="minorHAnsi" w:cs="Calibri"/>
          <w:sz w:val="22"/>
          <w:szCs w:val="22"/>
          <w:lang w:val="en-GB"/>
        </w:rPr>
        <w:t xml:space="preserve"> will </w:t>
      </w:r>
      <w:r w:rsidR="000A5744" w:rsidRPr="00B14158">
        <w:rPr>
          <w:rFonts w:asciiTheme="minorHAnsi" w:hAnsiTheme="minorHAnsi" w:cs="Calibri"/>
          <w:sz w:val="22"/>
          <w:szCs w:val="22"/>
          <w:lang w:val="en-GB"/>
        </w:rPr>
        <w:t xml:space="preserve">be required </w:t>
      </w:r>
      <w:r w:rsidR="004069AC" w:rsidRPr="00B14158">
        <w:rPr>
          <w:rFonts w:asciiTheme="minorHAnsi" w:hAnsiTheme="minorHAnsi" w:cs="Calibri"/>
          <w:sz w:val="22"/>
          <w:szCs w:val="22"/>
          <w:lang w:val="en-GB"/>
        </w:rPr>
        <w:t xml:space="preserve">to cumulatively list individuals that may exercise no control and have no ownership. This is concerning for the following reasons. </w:t>
      </w:r>
    </w:p>
    <w:p w14:paraId="05C41C83" w14:textId="77777777" w:rsidR="000A5744" w:rsidRPr="00B14158" w:rsidRDefault="000A5744" w:rsidP="007E77E7">
      <w:pPr>
        <w:pStyle w:val="paragraph"/>
        <w:spacing w:before="0" w:beforeAutospacing="0" w:after="0" w:afterAutospacing="0"/>
        <w:textAlignment w:val="baseline"/>
        <w:rPr>
          <w:rFonts w:asciiTheme="minorHAnsi" w:hAnsiTheme="minorHAnsi" w:cs="Calibri"/>
          <w:sz w:val="22"/>
          <w:szCs w:val="22"/>
          <w:lang w:val="en-GB"/>
        </w:rPr>
      </w:pPr>
    </w:p>
    <w:p w14:paraId="4B41B657" w14:textId="041B2A53" w:rsidR="00FE3551" w:rsidRPr="00B14158" w:rsidRDefault="004069AC" w:rsidP="007E77E7">
      <w:pPr>
        <w:pStyle w:val="paragraph"/>
        <w:spacing w:before="0" w:beforeAutospacing="0" w:after="0" w:afterAutospacing="0"/>
        <w:textAlignment w:val="baseline"/>
        <w:rPr>
          <w:rFonts w:asciiTheme="minorHAnsi" w:hAnsiTheme="minorHAnsi" w:cs="Calibri"/>
          <w:sz w:val="22"/>
          <w:szCs w:val="22"/>
          <w:lang w:val="en-GB"/>
        </w:rPr>
      </w:pPr>
      <w:r w:rsidRPr="00B14158">
        <w:rPr>
          <w:rFonts w:asciiTheme="minorHAnsi" w:hAnsiTheme="minorHAnsi" w:cs="Calibri"/>
          <w:sz w:val="22"/>
          <w:szCs w:val="22"/>
          <w:lang w:val="en-GB"/>
        </w:rPr>
        <w:t xml:space="preserve">First, the term </w:t>
      </w:r>
      <w:r w:rsidR="000A5744" w:rsidRPr="00B14158">
        <w:rPr>
          <w:rFonts w:asciiTheme="minorHAnsi" w:hAnsiTheme="minorHAnsi" w:cs="Calibri"/>
          <w:sz w:val="22"/>
          <w:szCs w:val="22"/>
          <w:lang w:val="en-GB"/>
        </w:rPr>
        <w:t>‘</w:t>
      </w:r>
      <w:r w:rsidRPr="00B14158">
        <w:rPr>
          <w:rFonts w:asciiTheme="minorHAnsi" w:hAnsiTheme="minorHAnsi" w:cs="Calibri"/>
          <w:sz w:val="22"/>
          <w:szCs w:val="22"/>
          <w:lang w:val="en-GB"/>
        </w:rPr>
        <w:t>express trust</w:t>
      </w:r>
      <w:r w:rsidR="000A5744" w:rsidRPr="00B14158">
        <w:rPr>
          <w:rFonts w:asciiTheme="minorHAnsi" w:hAnsiTheme="minorHAnsi" w:cs="Calibri"/>
          <w:sz w:val="22"/>
          <w:szCs w:val="22"/>
          <w:lang w:val="en-GB"/>
        </w:rPr>
        <w:t>’</w:t>
      </w:r>
      <w:r w:rsidRPr="00B14158">
        <w:rPr>
          <w:rFonts w:asciiTheme="minorHAnsi" w:hAnsiTheme="minorHAnsi" w:cs="Calibri"/>
          <w:sz w:val="22"/>
          <w:szCs w:val="22"/>
          <w:lang w:val="en-GB"/>
        </w:rPr>
        <w:t xml:space="preserve"> is a common law </w:t>
      </w:r>
      <w:r w:rsidR="000A5744" w:rsidRPr="00B14158">
        <w:rPr>
          <w:rFonts w:asciiTheme="minorHAnsi" w:hAnsiTheme="minorHAnsi" w:cs="Calibri"/>
          <w:sz w:val="22"/>
          <w:szCs w:val="22"/>
          <w:lang w:val="en-GB"/>
        </w:rPr>
        <w:t xml:space="preserve">concept </w:t>
      </w:r>
      <w:r w:rsidRPr="00B14158">
        <w:rPr>
          <w:rFonts w:asciiTheme="minorHAnsi" w:hAnsiTheme="minorHAnsi" w:cs="Calibri"/>
          <w:sz w:val="22"/>
          <w:szCs w:val="22"/>
          <w:lang w:val="en-GB"/>
        </w:rPr>
        <w:t xml:space="preserve">and </w:t>
      </w:r>
      <w:r w:rsidR="00FE3551" w:rsidRPr="00B14158">
        <w:rPr>
          <w:rFonts w:asciiTheme="minorHAnsi" w:hAnsiTheme="minorHAnsi" w:cs="Calibri"/>
          <w:sz w:val="22"/>
          <w:szCs w:val="22"/>
          <w:lang w:val="en-GB"/>
        </w:rPr>
        <w:t xml:space="preserve">is </w:t>
      </w:r>
      <w:r w:rsidRPr="00B14158">
        <w:rPr>
          <w:rFonts w:asciiTheme="minorHAnsi" w:hAnsiTheme="minorHAnsi" w:cs="Calibri"/>
          <w:sz w:val="22"/>
          <w:szCs w:val="22"/>
          <w:lang w:val="en-GB"/>
        </w:rPr>
        <w:t xml:space="preserve">not known in civil law countries. </w:t>
      </w:r>
      <w:r w:rsidR="004D091E" w:rsidRPr="00B14158">
        <w:rPr>
          <w:rFonts w:asciiTheme="minorHAnsi" w:hAnsiTheme="minorHAnsi" w:cs="Calibri"/>
          <w:sz w:val="22"/>
          <w:szCs w:val="22"/>
          <w:lang w:val="en-GB"/>
        </w:rPr>
        <w:t>NPO</w:t>
      </w:r>
      <w:r w:rsidR="009422B0" w:rsidRPr="00B14158">
        <w:rPr>
          <w:rFonts w:asciiTheme="minorHAnsi" w:hAnsiTheme="minorHAnsi" w:cs="Calibri"/>
          <w:sz w:val="22"/>
          <w:szCs w:val="22"/>
          <w:lang w:val="en-GB"/>
        </w:rPr>
        <w:t>s</w:t>
      </w:r>
      <w:r w:rsidRPr="00B14158">
        <w:rPr>
          <w:rFonts w:asciiTheme="minorHAnsi" w:hAnsiTheme="minorHAnsi" w:cs="Calibri"/>
          <w:sz w:val="22"/>
          <w:szCs w:val="22"/>
          <w:lang w:val="en-GB"/>
        </w:rPr>
        <w:t xml:space="preserve">, including public benefit foundations, in most EU Member States differ from express trusts and should </w:t>
      </w:r>
      <w:r w:rsidR="00FE3551" w:rsidRPr="00B14158">
        <w:rPr>
          <w:rFonts w:asciiTheme="minorHAnsi" w:hAnsiTheme="minorHAnsi" w:cs="Calibri"/>
          <w:sz w:val="22"/>
          <w:szCs w:val="22"/>
          <w:lang w:val="en-GB"/>
        </w:rPr>
        <w:t xml:space="preserve">therefore </w:t>
      </w:r>
      <w:r w:rsidRPr="00B14158">
        <w:rPr>
          <w:rFonts w:asciiTheme="minorHAnsi" w:hAnsiTheme="minorHAnsi" w:cs="Calibri"/>
          <w:sz w:val="22"/>
          <w:szCs w:val="22"/>
          <w:lang w:val="en-GB"/>
        </w:rPr>
        <w:t xml:space="preserve">only </w:t>
      </w:r>
      <w:r w:rsidR="00FE3551" w:rsidRPr="00B14158">
        <w:rPr>
          <w:rFonts w:asciiTheme="minorHAnsi" w:hAnsiTheme="minorHAnsi" w:cs="Calibri"/>
          <w:sz w:val="22"/>
          <w:szCs w:val="22"/>
          <w:lang w:val="en-GB"/>
        </w:rPr>
        <w:t xml:space="preserve">be required to </w:t>
      </w:r>
      <w:r w:rsidRPr="00B14158">
        <w:rPr>
          <w:rFonts w:asciiTheme="minorHAnsi" w:hAnsiTheme="minorHAnsi" w:cs="Calibri"/>
          <w:sz w:val="22"/>
          <w:szCs w:val="22"/>
          <w:lang w:val="en-GB"/>
        </w:rPr>
        <w:t xml:space="preserve">list as the beneficial owner </w:t>
      </w:r>
      <w:r w:rsidR="00FE3551" w:rsidRPr="00B14158">
        <w:rPr>
          <w:rFonts w:asciiTheme="minorHAnsi" w:hAnsiTheme="minorHAnsi" w:cs="Calibri"/>
          <w:sz w:val="22"/>
          <w:szCs w:val="22"/>
          <w:lang w:val="en-GB"/>
        </w:rPr>
        <w:t>those individuals who</w:t>
      </w:r>
      <w:r w:rsidRPr="00B14158">
        <w:rPr>
          <w:rFonts w:asciiTheme="minorHAnsi" w:hAnsiTheme="minorHAnsi" w:cs="Calibri"/>
          <w:sz w:val="22"/>
          <w:szCs w:val="22"/>
          <w:lang w:val="en-GB"/>
        </w:rPr>
        <w:t xml:space="preserve"> </w:t>
      </w:r>
      <w:r w:rsidR="00FE3551" w:rsidRPr="00B14158">
        <w:rPr>
          <w:rFonts w:asciiTheme="minorHAnsi" w:hAnsiTheme="minorHAnsi" w:cs="Calibri"/>
          <w:sz w:val="22"/>
          <w:szCs w:val="22"/>
          <w:lang w:val="en-GB"/>
        </w:rPr>
        <w:t xml:space="preserve">exercise </w:t>
      </w:r>
      <w:r w:rsidRPr="00B14158">
        <w:rPr>
          <w:rFonts w:asciiTheme="minorHAnsi" w:hAnsiTheme="minorHAnsi" w:cs="Calibri"/>
          <w:sz w:val="22"/>
          <w:szCs w:val="22"/>
          <w:lang w:val="en-GB"/>
        </w:rPr>
        <w:t>control</w:t>
      </w:r>
      <w:r w:rsidR="00FE3551" w:rsidRPr="00B14158">
        <w:rPr>
          <w:rFonts w:asciiTheme="minorHAnsi" w:hAnsiTheme="minorHAnsi" w:cs="Calibri"/>
          <w:sz w:val="22"/>
          <w:szCs w:val="22"/>
          <w:lang w:val="en-GB"/>
        </w:rPr>
        <w:t xml:space="preserve"> over</w:t>
      </w:r>
      <w:r w:rsidRPr="00B14158">
        <w:rPr>
          <w:rFonts w:asciiTheme="minorHAnsi" w:hAnsiTheme="minorHAnsi" w:cs="Calibri"/>
          <w:sz w:val="22"/>
          <w:szCs w:val="22"/>
          <w:lang w:val="en-GB"/>
        </w:rPr>
        <w:t xml:space="preserve"> the entity. However, it will be vital to ensure a consistent interpretation at EU level and prevent </w:t>
      </w:r>
      <w:r w:rsidR="00FE3551" w:rsidRPr="00B14158">
        <w:rPr>
          <w:rFonts w:asciiTheme="minorHAnsi" w:hAnsiTheme="minorHAnsi" w:cs="Calibri"/>
          <w:sz w:val="22"/>
          <w:szCs w:val="22"/>
          <w:lang w:val="en-GB"/>
        </w:rPr>
        <w:t>an overly broad margin</w:t>
      </w:r>
      <w:r w:rsidR="00A329BE">
        <w:rPr>
          <w:rFonts w:asciiTheme="minorHAnsi" w:hAnsiTheme="minorHAnsi" w:cs="Calibri"/>
          <w:sz w:val="22"/>
          <w:szCs w:val="22"/>
          <w:lang w:val="en-GB"/>
        </w:rPr>
        <w:t xml:space="preserve"> </w:t>
      </w:r>
      <w:r w:rsidRPr="00B14158">
        <w:rPr>
          <w:rFonts w:asciiTheme="minorHAnsi" w:hAnsiTheme="minorHAnsi" w:cs="Calibri"/>
          <w:sz w:val="22"/>
          <w:szCs w:val="22"/>
          <w:lang w:val="en-GB"/>
        </w:rPr>
        <w:t xml:space="preserve">of manoeuvre of Member States, which, as we have seen, can lead to arbitrary measures. </w:t>
      </w:r>
    </w:p>
    <w:p w14:paraId="43780ADC" w14:textId="77777777" w:rsidR="00FE3551" w:rsidRPr="00B14158" w:rsidRDefault="00FE3551" w:rsidP="007E77E7">
      <w:pPr>
        <w:pStyle w:val="paragraph"/>
        <w:spacing w:before="0" w:beforeAutospacing="0" w:after="0" w:afterAutospacing="0"/>
        <w:textAlignment w:val="baseline"/>
        <w:rPr>
          <w:rFonts w:asciiTheme="minorHAnsi" w:hAnsiTheme="minorHAnsi" w:cs="Calibri"/>
          <w:sz w:val="22"/>
          <w:szCs w:val="22"/>
          <w:lang w:val="en-GB"/>
        </w:rPr>
      </w:pPr>
    </w:p>
    <w:p w14:paraId="4FD61C73" w14:textId="2E7D9201" w:rsidR="004069AC" w:rsidRPr="00B14158" w:rsidRDefault="004069AC" w:rsidP="007E77E7">
      <w:pPr>
        <w:pStyle w:val="paragraph"/>
        <w:spacing w:before="0" w:beforeAutospacing="0" w:after="0" w:afterAutospacing="0"/>
        <w:textAlignment w:val="baseline"/>
        <w:rPr>
          <w:rStyle w:val="eop"/>
          <w:rFonts w:asciiTheme="minorHAnsi" w:hAnsiTheme="minorHAnsi" w:cs="Calibri"/>
          <w:sz w:val="22"/>
          <w:szCs w:val="22"/>
          <w:lang w:val="en-GB"/>
        </w:rPr>
      </w:pPr>
      <w:r w:rsidRPr="00B14158">
        <w:rPr>
          <w:rFonts w:asciiTheme="minorHAnsi" w:hAnsiTheme="minorHAnsi" w:cs="Calibri"/>
          <w:sz w:val="22"/>
          <w:szCs w:val="22"/>
          <w:lang w:val="en-GB"/>
        </w:rPr>
        <w:t xml:space="preserve">Second, if an NPO or foundation is considered </w:t>
      </w:r>
      <w:proofErr w:type="gramStart"/>
      <w:r w:rsidRPr="00B14158">
        <w:rPr>
          <w:rFonts w:asciiTheme="minorHAnsi" w:hAnsiTheme="minorHAnsi" w:cs="Calibri"/>
          <w:sz w:val="22"/>
          <w:szCs w:val="22"/>
          <w:lang w:val="en-GB"/>
        </w:rPr>
        <w:t>similar to</w:t>
      </w:r>
      <w:proofErr w:type="gramEnd"/>
      <w:r w:rsidRPr="00B14158">
        <w:rPr>
          <w:rFonts w:asciiTheme="minorHAnsi" w:hAnsiTheme="minorHAnsi" w:cs="Calibri"/>
          <w:sz w:val="22"/>
          <w:szCs w:val="22"/>
          <w:lang w:val="en-GB"/>
        </w:rPr>
        <w:t xml:space="preserve"> an express </w:t>
      </w:r>
      <w:proofErr w:type="gramStart"/>
      <w:r w:rsidRPr="00B14158">
        <w:rPr>
          <w:rFonts w:asciiTheme="minorHAnsi" w:hAnsiTheme="minorHAnsi" w:cs="Calibri"/>
          <w:sz w:val="22"/>
          <w:szCs w:val="22"/>
          <w:lang w:val="en-GB"/>
        </w:rPr>
        <w:t>trust</w:t>
      </w:r>
      <w:r w:rsidR="00FE3551" w:rsidRPr="00B14158">
        <w:rPr>
          <w:rFonts w:asciiTheme="minorHAnsi" w:hAnsiTheme="minorHAnsi" w:cs="Calibri"/>
          <w:sz w:val="22"/>
          <w:szCs w:val="22"/>
          <w:lang w:val="en-GB"/>
        </w:rPr>
        <w:t>,</w:t>
      </w:r>
      <w:r w:rsidRPr="00B14158">
        <w:rPr>
          <w:rFonts w:asciiTheme="minorHAnsi" w:hAnsiTheme="minorHAnsi" w:cs="Calibri"/>
          <w:sz w:val="22"/>
          <w:szCs w:val="22"/>
          <w:lang w:val="en-GB"/>
        </w:rPr>
        <w:t xml:space="preserve"> or</w:t>
      </w:r>
      <w:proofErr w:type="gramEnd"/>
      <w:r w:rsidRPr="00B14158">
        <w:rPr>
          <w:rFonts w:asciiTheme="minorHAnsi" w:hAnsiTheme="minorHAnsi" w:cs="Calibri"/>
          <w:sz w:val="22"/>
          <w:szCs w:val="22"/>
          <w:lang w:val="en-GB"/>
        </w:rPr>
        <w:t xml:space="preserve"> constituted as an express trust and similar legal arrangement, this implies a heavy administrative burden and unnecessary listing of information of individuals who have no rights on assets or control over the organisation.</w:t>
      </w:r>
    </w:p>
    <w:p w14:paraId="0D335413" w14:textId="77777777" w:rsidR="00745295" w:rsidRPr="007E77E7" w:rsidRDefault="00745295" w:rsidP="007E77E7">
      <w:pPr>
        <w:spacing w:after="0"/>
        <w:rPr>
          <w:b/>
          <w:bCs/>
          <w:lang w:val="en-GB"/>
        </w:rPr>
      </w:pPr>
    </w:p>
    <w:p w14:paraId="3FBF6498" w14:textId="2F69E999" w:rsidR="005B23FD" w:rsidRPr="005B2244" w:rsidRDefault="005B23FD" w:rsidP="007E77E7">
      <w:pPr>
        <w:spacing w:after="0"/>
        <w:rPr>
          <w:b/>
          <w:bCs/>
          <w:sz w:val="32"/>
          <w:szCs w:val="32"/>
          <w:lang w:val="en-GB"/>
        </w:rPr>
      </w:pPr>
      <w:r w:rsidRPr="005B2244">
        <w:rPr>
          <w:b/>
          <w:bCs/>
          <w:sz w:val="32"/>
          <w:szCs w:val="32"/>
          <w:lang w:val="en-GB"/>
        </w:rPr>
        <w:t xml:space="preserve">Transparency Regulation on Political Advertising (TTPA) </w:t>
      </w:r>
    </w:p>
    <w:p w14:paraId="4698B50E" w14:textId="77777777" w:rsidR="005B2244" w:rsidRPr="005B2244" w:rsidRDefault="005B2244" w:rsidP="007E77E7">
      <w:pPr>
        <w:spacing w:after="0"/>
        <w:rPr>
          <w:b/>
          <w:bCs/>
          <w:i/>
          <w:iCs/>
          <w:sz w:val="22"/>
          <w:szCs w:val="22"/>
          <w:lang w:val="en-GB"/>
        </w:rPr>
      </w:pPr>
      <w:r w:rsidRPr="005B2244">
        <w:rPr>
          <w:b/>
          <w:bCs/>
          <w:i/>
          <w:iCs/>
          <w:sz w:val="22"/>
          <w:szCs w:val="22"/>
          <w:lang w:val="en-GB"/>
        </w:rPr>
        <w:t>Introduction</w:t>
      </w:r>
    </w:p>
    <w:p w14:paraId="2C82DEE1" w14:textId="1E5C2A8D" w:rsidR="005B23FD" w:rsidRPr="00B14158" w:rsidRDefault="005B23FD" w:rsidP="007E77E7">
      <w:pPr>
        <w:spacing w:after="0"/>
        <w:rPr>
          <w:sz w:val="22"/>
          <w:szCs w:val="22"/>
          <w:lang w:val="en-GB"/>
        </w:rPr>
      </w:pPr>
      <w:r w:rsidRPr="00B14158">
        <w:rPr>
          <w:sz w:val="22"/>
          <w:szCs w:val="22"/>
          <w:lang w:val="en-GB"/>
        </w:rPr>
        <w:t xml:space="preserve">On 10 October 2025, the EU Regulation on Transparency of Political Advertising (TTPA) </w:t>
      </w:r>
      <w:r w:rsidR="00FE3551" w:rsidRPr="00B14158">
        <w:rPr>
          <w:sz w:val="22"/>
          <w:szCs w:val="22"/>
          <w:lang w:val="en-GB"/>
        </w:rPr>
        <w:t xml:space="preserve">entered </w:t>
      </w:r>
      <w:r w:rsidRPr="00B14158">
        <w:rPr>
          <w:sz w:val="22"/>
          <w:szCs w:val="22"/>
          <w:lang w:val="en-GB"/>
        </w:rPr>
        <w:t xml:space="preserve">into force. This regulation is intended to promote transparency around political messages – a goal that civil society organisations wholeheartedly support. </w:t>
      </w:r>
      <w:r w:rsidR="00FE3551" w:rsidRPr="00B14158">
        <w:rPr>
          <w:sz w:val="22"/>
          <w:szCs w:val="22"/>
          <w:lang w:val="en-GB"/>
        </w:rPr>
        <w:t>Transparency is, after all, of fundamental importance in a democratic constitutional state. However, significant concerns remain.</w:t>
      </w:r>
    </w:p>
    <w:p w14:paraId="1ECAA7E3" w14:textId="77777777" w:rsidR="007E77E7" w:rsidRPr="00B14158" w:rsidRDefault="007E77E7" w:rsidP="007E77E7">
      <w:pPr>
        <w:spacing w:after="0"/>
        <w:rPr>
          <w:sz w:val="22"/>
          <w:szCs w:val="22"/>
          <w:lang w:val="en-GB"/>
        </w:rPr>
      </w:pPr>
    </w:p>
    <w:p w14:paraId="33AD3867" w14:textId="7F607B5C" w:rsidR="005B23FD" w:rsidRPr="00B14158" w:rsidRDefault="005B23FD" w:rsidP="007E77E7">
      <w:pPr>
        <w:spacing w:after="0"/>
        <w:rPr>
          <w:sz w:val="22"/>
          <w:szCs w:val="22"/>
          <w:lang w:val="en-GB"/>
        </w:rPr>
      </w:pPr>
      <w:r w:rsidRPr="00B14158">
        <w:rPr>
          <w:sz w:val="22"/>
          <w:szCs w:val="22"/>
          <w:lang w:val="en-GB"/>
        </w:rPr>
        <w:t xml:space="preserve">Although </w:t>
      </w:r>
      <w:r w:rsidR="00FE3551" w:rsidRPr="00B14158">
        <w:rPr>
          <w:sz w:val="22"/>
          <w:szCs w:val="22"/>
          <w:lang w:val="en-GB"/>
        </w:rPr>
        <w:t xml:space="preserve">the regulation does not constitute </w:t>
      </w:r>
      <w:r w:rsidRPr="00B14158">
        <w:rPr>
          <w:sz w:val="22"/>
          <w:szCs w:val="22"/>
          <w:lang w:val="en-GB"/>
        </w:rPr>
        <w:t xml:space="preserve">a ban, large platforms such as Meta and Google have chosen to no longer allow such advertisements in the EU. </w:t>
      </w:r>
      <w:r w:rsidR="00FE3551" w:rsidRPr="00B14158">
        <w:rPr>
          <w:sz w:val="22"/>
          <w:szCs w:val="22"/>
          <w:lang w:val="en-GB"/>
        </w:rPr>
        <w:t xml:space="preserve">Meta has described </w:t>
      </w:r>
      <w:r w:rsidRPr="00B14158">
        <w:rPr>
          <w:sz w:val="22"/>
          <w:szCs w:val="22"/>
          <w:lang w:val="en-GB"/>
        </w:rPr>
        <w:t xml:space="preserve">the rules ‘unworkable’ and announced on </w:t>
      </w:r>
      <w:r w:rsidR="00FE3551" w:rsidRPr="00B14158">
        <w:rPr>
          <w:sz w:val="22"/>
          <w:szCs w:val="22"/>
          <w:lang w:val="en-GB"/>
        </w:rPr>
        <w:t xml:space="preserve">the </w:t>
      </w:r>
      <w:r w:rsidRPr="00B14158">
        <w:rPr>
          <w:sz w:val="22"/>
          <w:szCs w:val="22"/>
          <w:lang w:val="en-GB"/>
        </w:rPr>
        <w:t>25</w:t>
      </w:r>
      <w:r w:rsidR="00FE3551" w:rsidRPr="00B14158">
        <w:rPr>
          <w:sz w:val="22"/>
          <w:szCs w:val="22"/>
          <w:vertAlign w:val="superscript"/>
          <w:lang w:val="en-GB"/>
        </w:rPr>
        <w:t>th</w:t>
      </w:r>
      <w:r w:rsidR="00FE3551" w:rsidRPr="00B14158">
        <w:rPr>
          <w:sz w:val="22"/>
          <w:szCs w:val="22"/>
          <w:lang w:val="en-GB"/>
        </w:rPr>
        <w:t xml:space="preserve"> of</w:t>
      </w:r>
      <w:r w:rsidRPr="00B14158">
        <w:rPr>
          <w:sz w:val="22"/>
          <w:szCs w:val="22"/>
          <w:lang w:val="en-GB"/>
        </w:rPr>
        <w:t xml:space="preserve"> July that it would completely stop political and social </w:t>
      </w:r>
      <w:r w:rsidRPr="00B14158">
        <w:rPr>
          <w:sz w:val="22"/>
          <w:szCs w:val="22"/>
          <w:lang w:val="en-GB"/>
        </w:rPr>
        <w:lastRenderedPageBreak/>
        <w:t xml:space="preserve">advertisements. Google has also adjusted its policy in this regard, </w:t>
      </w:r>
      <w:r w:rsidR="00FE3551" w:rsidRPr="00B14158">
        <w:rPr>
          <w:sz w:val="22"/>
          <w:szCs w:val="22"/>
          <w:lang w:val="en-GB"/>
        </w:rPr>
        <w:t>while its interpretation is less strict, restrictions nevertheless continue to apply.</w:t>
      </w:r>
      <w:r w:rsidRPr="00B14158">
        <w:rPr>
          <w:sz w:val="22"/>
          <w:szCs w:val="22"/>
          <w:lang w:val="en-GB"/>
        </w:rPr>
        <w:t xml:space="preserve"> </w:t>
      </w:r>
    </w:p>
    <w:p w14:paraId="59540EEC" w14:textId="77777777" w:rsidR="007E77E7" w:rsidRPr="00B14158" w:rsidRDefault="007E77E7" w:rsidP="007E77E7">
      <w:pPr>
        <w:spacing w:after="0"/>
        <w:rPr>
          <w:sz w:val="22"/>
          <w:szCs w:val="22"/>
          <w:lang w:val="en-GB"/>
        </w:rPr>
      </w:pPr>
    </w:p>
    <w:p w14:paraId="0C2D43BF" w14:textId="4E95882F" w:rsidR="0050537F" w:rsidRPr="00B14158" w:rsidRDefault="005B23FD" w:rsidP="007E77E7">
      <w:pPr>
        <w:spacing w:after="0"/>
        <w:rPr>
          <w:sz w:val="22"/>
          <w:szCs w:val="22"/>
          <w:lang w:val="en-GB"/>
        </w:rPr>
      </w:pPr>
      <w:r w:rsidRPr="00B14158">
        <w:rPr>
          <w:sz w:val="22"/>
          <w:szCs w:val="22"/>
          <w:lang w:val="en-GB"/>
        </w:rPr>
        <w:t xml:space="preserve">This decision has major consequences for </w:t>
      </w:r>
      <w:r w:rsidR="003C2814" w:rsidRPr="00B14158">
        <w:rPr>
          <w:sz w:val="22"/>
          <w:szCs w:val="22"/>
          <w:lang w:val="en-GB"/>
        </w:rPr>
        <w:t>CSOs</w:t>
      </w:r>
      <w:r w:rsidRPr="00B14158">
        <w:rPr>
          <w:sz w:val="22"/>
          <w:szCs w:val="22"/>
          <w:lang w:val="en-GB"/>
        </w:rPr>
        <w:t xml:space="preserve">. </w:t>
      </w:r>
      <w:r w:rsidR="00FE3551" w:rsidRPr="00B14158">
        <w:rPr>
          <w:sz w:val="22"/>
          <w:szCs w:val="22"/>
          <w:lang w:val="en-GB"/>
        </w:rPr>
        <w:t>They</w:t>
      </w:r>
      <w:r w:rsidRPr="00B14158">
        <w:rPr>
          <w:sz w:val="22"/>
          <w:szCs w:val="22"/>
          <w:lang w:val="en-GB"/>
        </w:rPr>
        <w:t xml:space="preserve"> affect fundamental rights</w:t>
      </w:r>
      <w:r w:rsidR="00FE3551" w:rsidRPr="00B14158">
        <w:rPr>
          <w:sz w:val="22"/>
          <w:szCs w:val="22"/>
          <w:lang w:val="en-GB"/>
        </w:rPr>
        <w:t>,</w:t>
      </w:r>
      <w:r w:rsidRPr="00B14158">
        <w:rPr>
          <w:sz w:val="22"/>
          <w:szCs w:val="22"/>
          <w:lang w:val="en-GB"/>
        </w:rPr>
        <w:t xml:space="preserve"> such as freedom of expression and the right to information. It also has a direct impact on the work of </w:t>
      </w:r>
      <w:r w:rsidR="005207B1" w:rsidRPr="00B14158">
        <w:rPr>
          <w:sz w:val="22"/>
          <w:szCs w:val="22"/>
          <w:lang w:val="en-GB"/>
        </w:rPr>
        <w:t>CSOs</w:t>
      </w:r>
      <w:r w:rsidRPr="00B14158">
        <w:rPr>
          <w:sz w:val="22"/>
          <w:szCs w:val="22"/>
          <w:lang w:val="en-GB"/>
        </w:rPr>
        <w:t>: they are reaching fewer people with their social message</w:t>
      </w:r>
      <w:r w:rsidR="00C87910" w:rsidRPr="00B14158">
        <w:rPr>
          <w:sz w:val="22"/>
          <w:szCs w:val="22"/>
          <w:lang w:val="en-GB"/>
        </w:rPr>
        <w:t>s</w:t>
      </w:r>
      <w:r w:rsidRPr="00B14158">
        <w:rPr>
          <w:sz w:val="22"/>
          <w:szCs w:val="22"/>
          <w:lang w:val="en-GB"/>
        </w:rPr>
        <w:t xml:space="preserve">, even though </w:t>
      </w:r>
      <w:r w:rsidR="00C87910" w:rsidRPr="00B14158">
        <w:rPr>
          <w:sz w:val="22"/>
          <w:szCs w:val="22"/>
          <w:lang w:val="en-GB"/>
        </w:rPr>
        <w:t xml:space="preserve">such outreach is particularly important </w:t>
      </w:r>
      <w:proofErr w:type="gramStart"/>
      <w:r w:rsidR="00C87910" w:rsidRPr="00B14158">
        <w:rPr>
          <w:sz w:val="22"/>
          <w:szCs w:val="22"/>
          <w:lang w:val="en-GB"/>
        </w:rPr>
        <w:t>at this time</w:t>
      </w:r>
      <w:proofErr w:type="gramEnd"/>
      <w:r w:rsidRPr="00B14158">
        <w:rPr>
          <w:sz w:val="22"/>
          <w:szCs w:val="22"/>
          <w:lang w:val="en-GB"/>
        </w:rPr>
        <w:t>.</w:t>
      </w:r>
    </w:p>
    <w:p w14:paraId="40498D6B" w14:textId="77777777" w:rsidR="007E77E7" w:rsidRDefault="007E77E7" w:rsidP="007E77E7">
      <w:pPr>
        <w:spacing w:after="0"/>
        <w:rPr>
          <w:b/>
          <w:bCs/>
          <w:i/>
          <w:iCs/>
          <w:sz w:val="22"/>
          <w:szCs w:val="22"/>
          <w:lang w:val="en-GB"/>
        </w:rPr>
      </w:pPr>
    </w:p>
    <w:p w14:paraId="3F8CAE22" w14:textId="3D5D5318" w:rsidR="0050537F" w:rsidRPr="005207B1" w:rsidRDefault="0050537F" w:rsidP="007E77E7">
      <w:pPr>
        <w:spacing w:after="0"/>
        <w:rPr>
          <w:b/>
          <w:bCs/>
          <w:i/>
          <w:iCs/>
          <w:sz w:val="22"/>
          <w:szCs w:val="22"/>
          <w:lang w:val="en-GB"/>
        </w:rPr>
      </w:pPr>
      <w:r w:rsidRPr="005207B1">
        <w:rPr>
          <w:b/>
          <w:bCs/>
          <w:i/>
          <w:iCs/>
          <w:sz w:val="22"/>
          <w:szCs w:val="22"/>
          <w:lang w:val="en-GB"/>
        </w:rPr>
        <w:t>European policy on large online platforms</w:t>
      </w:r>
    </w:p>
    <w:p w14:paraId="1CF34DCF" w14:textId="77777777" w:rsidR="0001021A" w:rsidRPr="00B14158" w:rsidRDefault="0050537F" w:rsidP="007E77E7">
      <w:pPr>
        <w:spacing w:after="0"/>
        <w:rPr>
          <w:sz w:val="22"/>
          <w:szCs w:val="22"/>
          <w:lang w:val="en-GB"/>
        </w:rPr>
      </w:pPr>
      <w:r w:rsidRPr="00B14158">
        <w:rPr>
          <w:sz w:val="22"/>
          <w:szCs w:val="22"/>
          <w:lang w:val="en-GB"/>
        </w:rPr>
        <w:t xml:space="preserve">From 6 October 2025, Meta will no longer allow any advertisements that touch on political, electoral or social issues. </w:t>
      </w:r>
      <w:r w:rsidR="0001021A" w:rsidRPr="00B14158">
        <w:rPr>
          <w:sz w:val="22"/>
          <w:szCs w:val="22"/>
          <w:lang w:val="en-GB"/>
        </w:rPr>
        <w:t>Many paid campaigns by charities on issues such as human rights, climate change, healthcare or poverty are being blocked, such as petitions against injustice or campaigns that draw attention to vulnerable groups. This is incomprehensible, because this is not what the European regulation intends.</w:t>
      </w:r>
    </w:p>
    <w:p w14:paraId="402297E7" w14:textId="77777777" w:rsidR="00456F87" w:rsidRDefault="00456F87" w:rsidP="007E77E7">
      <w:pPr>
        <w:spacing w:after="0"/>
        <w:rPr>
          <w:sz w:val="22"/>
          <w:szCs w:val="22"/>
          <w:lang w:val="en-GB"/>
        </w:rPr>
      </w:pPr>
    </w:p>
    <w:p w14:paraId="2F3EA82A" w14:textId="2092F08A" w:rsidR="0050537F" w:rsidRPr="00B14158" w:rsidRDefault="0050537F" w:rsidP="007E77E7">
      <w:pPr>
        <w:spacing w:after="0"/>
        <w:rPr>
          <w:sz w:val="22"/>
          <w:szCs w:val="22"/>
          <w:lang w:val="en-GB"/>
        </w:rPr>
      </w:pPr>
      <w:r w:rsidRPr="00B14158">
        <w:rPr>
          <w:sz w:val="22"/>
          <w:szCs w:val="22"/>
          <w:lang w:val="en-GB"/>
        </w:rPr>
        <w:t>Meta (Facebook and Instagram) and Google (Performance Max and YouTube) are important online channels for organisations such as Médecins Sans Frontières, Plan International and Greenpeace. They point to the direct impact on their work, the loss of reach and the obstruction of public debate.</w:t>
      </w:r>
    </w:p>
    <w:p w14:paraId="24D55EF3" w14:textId="77777777" w:rsidR="007E77E7" w:rsidRPr="00B14158" w:rsidRDefault="007E77E7" w:rsidP="007E77E7">
      <w:pPr>
        <w:spacing w:after="0"/>
        <w:rPr>
          <w:sz w:val="22"/>
          <w:szCs w:val="22"/>
          <w:lang w:val="en-GB"/>
        </w:rPr>
      </w:pPr>
    </w:p>
    <w:p w14:paraId="07A8E41A" w14:textId="74DB0CA5" w:rsidR="0050537F" w:rsidRPr="00B14158" w:rsidRDefault="0050537F" w:rsidP="007E77E7">
      <w:pPr>
        <w:spacing w:after="0"/>
        <w:rPr>
          <w:sz w:val="22"/>
          <w:szCs w:val="22"/>
          <w:lang w:val="en-GB"/>
        </w:rPr>
      </w:pPr>
      <w:r w:rsidRPr="00B14158">
        <w:rPr>
          <w:sz w:val="22"/>
          <w:szCs w:val="22"/>
          <w:lang w:val="en-GB"/>
        </w:rPr>
        <w:t xml:space="preserve">The TTPA regulation is intended to strengthen the democratic rule of law, not to silence social voices. Meta's strict interpretation is now having the opposite effect: blocking campaigns by </w:t>
      </w:r>
      <w:r w:rsidR="0001021A" w:rsidRPr="00B14158">
        <w:rPr>
          <w:sz w:val="22"/>
          <w:szCs w:val="22"/>
          <w:lang w:val="en-GB"/>
        </w:rPr>
        <w:t>CSOs</w:t>
      </w:r>
      <w:r w:rsidRPr="00B14158">
        <w:rPr>
          <w:sz w:val="22"/>
          <w:szCs w:val="22"/>
          <w:lang w:val="en-GB"/>
        </w:rPr>
        <w:t xml:space="preserve"> that stand up for justice, solidarity and vulnerable groups. </w:t>
      </w:r>
      <w:r w:rsidR="00C87910" w:rsidRPr="00B14158">
        <w:rPr>
          <w:sz w:val="22"/>
          <w:szCs w:val="22"/>
          <w:lang w:val="en-GB"/>
        </w:rPr>
        <w:t xml:space="preserve">CSOs </w:t>
      </w:r>
      <w:r w:rsidRPr="00B14158">
        <w:rPr>
          <w:sz w:val="22"/>
          <w:szCs w:val="22"/>
          <w:lang w:val="en-GB"/>
        </w:rPr>
        <w:t>must retain the space to carry out their mission – especially online, where public debate takes place.</w:t>
      </w:r>
    </w:p>
    <w:p w14:paraId="10644077" w14:textId="77777777" w:rsidR="007E77E7" w:rsidRPr="00B14158" w:rsidRDefault="007E77E7" w:rsidP="007E77E7">
      <w:pPr>
        <w:spacing w:after="0"/>
        <w:rPr>
          <w:b/>
          <w:bCs/>
          <w:i/>
          <w:iCs/>
          <w:sz w:val="22"/>
          <w:szCs w:val="22"/>
          <w:lang w:val="en-GB"/>
        </w:rPr>
      </w:pPr>
    </w:p>
    <w:p w14:paraId="263E7E50" w14:textId="6861F0EA" w:rsidR="00A94F17" w:rsidRPr="00B14158" w:rsidRDefault="00A94F17" w:rsidP="007E77E7">
      <w:pPr>
        <w:spacing w:after="0"/>
        <w:rPr>
          <w:sz w:val="22"/>
          <w:szCs w:val="22"/>
          <w:lang w:val="en-GB"/>
        </w:rPr>
      </w:pPr>
      <w:r w:rsidRPr="00B14158">
        <w:rPr>
          <w:b/>
          <w:bCs/>
          <w:i/>
          <w:iCs/>
          <w:sz w:val="22"/>
          <w:szCs w:val="22"/>
          <w:lang w:val="en-GB"/>
        </w:rPr>
        <w:t>Médecins Sans Frontières</w:t>
      </w:r>
      <w:r w:rsidRPr="00B14158">
        <w:rPr>
          <w:sz w:val="22"/>
          <w:szCs w:val="22"/>
          <w:lang w:val="en-GB"/>
        </w:rPr>
        <w:t>: 'Médecins Sans Frontières is very concerned about the possible consequences of this decision. It has a direct impact on the impact we want to make, such as with our petition to draw attention to violence against aid workers. Thanks in part to our use of Instagram and Facebook, this petition has received broad public support, putting this important issue on the political agenda. Meta's decision could therefore have major consequences for us. Because if we reach fewer people, we can mobilise fewer people. And that limits us in what is most important to us: saving lives and providing medical care to the most vulnerable.'</w:t>
      </w:r>
    </w:p>
    <w:p w14:paraId="5C8E297F" w14:textId="77777777" w:rsidR="007E77E7" w:rsidRPr="00B14158" w:rsidRDefault="007E77E7" w:rsidP="007E77E7">
      <w:pPr>
        <w:spacing w:after="0"/>
        <w:rPr>
          <w:b/>
          <w:bCs/>
          <w:i/>
          <w:iCs/>
          <w:sz w:val="22"/>
          <w:szCs w:val="22"/>
          <w:lang w:val="en-GB"/>
        </w:rPr>
      </w:pPr>
    </w:p>
    <w:p w14:paraId="5C177574" w14:textId="5281E72A" w:rsidR="00C96849" w:rsidRPr="00B14158" w:rsidRDefault="00C96849" w:rsidP="007E77E7">
      <w:pPr>
        <w:spacing w:after="0"/>
        <w:rPr>
          <w:sz w:val="22"/>
          <w:szCs w:val="22"/>
          <w:lang w:val="en-GB"/>
        </w:rPr>
      </w:pPr>
      <w:r w:rsidRPr="00B14158">
        <w:rPr>
          <w:b/>
          <w:bCs/>
          <w:i/>
          <w:iCs/>
          <w:sz w:val="22"/>
          <w:szCs w:val="22"/>
          <w:lang w:val="en-GB"/>
        </w:rPr>
        <w:t>Plan International</w:t>
      </w:r>
      <w:r w:rsidRPr="00B14158">
        <w:rPr>
          <w:sz w:val="22"/>
          <w:szCs w:val="22"/>
          <w:lang w:val="en-GB"/>
        </w:rPr>
        <w:t xml:space="preserve">: "Organic reach on social media is limited: on average around 5 percent and, with strong content, a maximum of 10 percent of your followers. That is why we use Meta advertisements to raise awareness of issues such as the safety and rights of women and girls. But campaigns that include words such as “charity” are already being rejected. Multiple rejections can even lead to account suspension. At the same time, hate, threats and intimidation of women and girls on platforms such as Instagram and Facebook are on the rise. Now more than ever, it is crucial to mobilise people to </w:t>
      </w:r>
      <w:proofErr w:type="gramStart"/>
      <w:r w:rsidRPr="00B14158">
        <w:rPr>
          <w:sz w:val="22"/>
          <w:szCs w:val="22"/>
          <w:lang w:val="en-GB"/>
        </w:rPr>
        <w:t>take action</w:t>
      </w:r>
      <w:proofErr w:type="gramEnd"/>
      <w:r w:rsidRPr="00B14158">
        <w:rPr>
          <w:sz w:val="22"/>
          <w:szCs w:val="22"/>
          <w:lang w:val="en-GB"/>
        </w:rPr>
        <w:t xml:space="preserve"> against this. It is worrying that Meta's advertising policy hinders this work by labelling social campaigns as political. This policy must be scrapped."</w:t>
      </w:r>
    </w:p>
    <w:p w14:paraId="50BB32A7" w14:textId="77777777" w:rsidR="007E77E7" w:rsidRPr="00B14158" w:rsidRDefault="007E77E7" w:rsidP="007E77E7">
      <w:pPr>
        <w:spacing w:after="0"/>
        <w:rPr>
          <w:b/>
          <w:bCs/>
          <w:i/>
          <w:iCs/>
          <w:sz w:val="22"/>
          <w:szCs w:val="22"/>
          <w:lang w:val="en-GB"/>
        </w:rPr>
      </w:pPr>
    </w:p>
    <w:p w14:paraId="0B01D748" w14:textId="2905708A" w:rsidR="00C96849" w:rsidRPr="00B14158" w:rsidRDefault="00C96849" w:rsidP="007E77E7">
      <w:pPr>
        <w:spacing w:after="0"/>
        <w:rPr>
          <w:sz w:val="22"/>
          <w:szCs w:val="22"/>
          <w:lang w:val="en-GB"/>
        </w:rPr>
      </w:pPr>
      <w:r w:rsidRPr="00B14158">
        <w:rPr>
          <w:b/>
          <w:bCs/>
          <w:i/>
          <w:iCs/>
          <w:sz w:val="22"/>
          <w:szCs w:val="22"/>
          <w:lang w:val="en-GB"/>
        </w:rPr>
        <w:t>Greenpeace:</w:t>
      </w:r>
      <w:r w:rsidRPr="00B14158">
        <w:rPr>
          <w:sz w:val="22"/>
          <w:szCs w:val="22"/>
          <w:lang w:val="en-GB"/>
        </w:rPr>
        <w:t xml:space="preserve"> "We are disappointed that Meta is blocking social messages. Green organisations play a crucial role in informing millions of people and mobilising them for solutions, for example </w:t>
      </w:r>
      <w:r w:rsidRPr="00B14158">
        <w:rPr>
          <w:sz w:val="22"/>
          <w:szCs w:val="22"/>
          <w:lang w:val="en-GB"/>
        </w:rPr>
        <w:lastRenderedPageBreak/>
        <w:t xml:space="preserve">against the threat of deep-sea mining to vulnerable life in the deep sea. If messages like these can no longer be shared, public debate will be </w:t>
      </w:r>
      <w:r w:rsidR="002934E9" w:rsidRPr="00B14158">
        <w:rPr>
          <w:sz w:val="22"/>
          <w:szCs w:val="22"/>
          <w:lang w:val="en-GB"/>
        </w:rPr>
        <w:t>impoverished,</w:t>
      </w:r>
      <w:r w:rsidRPr="00B14158">
        <w:rPr>
          <w:sz w:val="22"/>
          <w:szCs w:val="22"/>
          <w:lang w:val="en-GB"/>
        </w:rPr>
        <w:t xml:space="preserve"> and misinformation and polluting interests will have free rein. We remain committed to a green, liveable planet and hope that Meta will reconsider this decision in the interests of an open and healthy society."</w:t>
      </w:r>
    </w:p>
    <w:p w14:paraId="02F70D93" w14:textId="77777777" w:rsidR="007E77E7" w:rsidRPr="00B14158" w:rsidRDefault="007E77E7" w:rsidP="007E77E7">
      <w:pPr>
        <w:spacing w:after="0"/>
        <w:rPr>
          <w:sz w:val="22"/>
          <w:szCs w:val="22"/>
          <w:lang w:val="en-GB"/>
        </w:rPr>
      </w:pPr>
    </w:p>
    <w:p w14:paraId="6CA71FE3" w14:textId="035F8828" w:rsidR="00697504" w:rsidRPr="00B14158" w:rsidRDefault="00697504" w:rsidP="007E77E7">
      <w:pPr>
        <w:spacing w:after="0"/>
        <w:rPr>
          <w:sz w:val="22"/>
          <w:szCs w:val="22"/>
          <w:lang w:val="en-GB"/>
        </w:rPr>
      </w:pPr>
      <w:r w:rsidRPr="00B14158">
        <w:rPr>
          <w:sz w:val="22"/>
          <w:szCs w:val="22"/>
          <w:lang w:val="en-GB"/>
        </w:rPr>
        <w:t xml:space="preserve">On 2 October 2025, </w:t>
      </w:r>
      <w:r w:rsidR="00C87910" w:rsidRPr="00B14158">
        <w:rPr>
          <w:sz w:val="22"/>
          <w:szCs w:val="22"/>
          <w:lang w:val="en-GB"/>
        </w:rPr>
        <w:t xml:space="preserve">newspaper </w:t>
      </w:r>
      <w:r w:rsidRPr="00B14158">
        <w:rPr>
          <w:sz w:val="22"/>
          <w:szCs w:val="22"/>
          <w:lang w:val="en-GB"/>
        </w:rPr>
        <w:t>NRC published the following article on this subject:</w:t>
      </w:r>
    </w:p>
    <w:p w14:paraId="0637BDD9" w14:textId="4A37FA43" w:rsidR="005B0B53" w:rsidRPr="00B14158" w:rsidRDefault="005B0B53" w:rsidP="007E77E7">
      <w:pPr>
        <w:pStyle w:val="paragraph"/>
        <w:spacing w:before="0" w:beforeAutospacing="0" w:after="0" w:afterAutospacing="0"/>
        <w:rPr>
          <w:rFonts w:ascii="Calibri" w:hAnsi="Calibri" w:cs="Calibri"/>
          <w:sz w:val="22"/>
          <w:szCs w:val="22"/>
          <w:lang w:val="en-GB"/>
        </w:rPr>
      </w:pPr>
      <w:hyperlink r:id="rId8" w:tgtFrame="_blank" w:history="1">
        <w:r w:rsidRPr="00B14158">
          <w:rPr>
            <w:rStyle w:val="Hyperlink"/>
            <w:rFonts w:ascii="Calibri" w:hAnsi="Calibri" w:cs="Calibri"/>
            <w:sz w:val="22"/>
            <w:szCs w:val="22"/>
            <w:lang w:val="en-GB"/>
          </w:rPr>
          <w:t>https://www.nrc.nl/nieuws/2025/10/02/meta-wekt-verwarring-en-woede-bij-overheid-en-ngos-met-advertentieverbod-voor-maatschappelijke-kwesties-a4908280</w:t>
        </w:r>
      </w:hyperlink>
    </w:p>
    <w:p w14:paraId="206EF16E" w14:textId="77777777" w:rsidR="007E77E7" w:rsidRDefault="007E77E7" w:rsidP="007E77E7">
      <w:pPr>
        <w:spacing w:after="0"/>
        <w:rPr>
          <w:b/>
          <w:bCs/>
          <w:i/>
          <w:iCs/>
          <w:sz w:val="22"/>
          <w:szCs w:val="22"/>
          <w:lang w:val="en-GB"/>
        </w:rPr>
      </w:pPr>
    </w:p>
    <w:p w14:paraId="64B670E7" w14:textId="048293DB" w:rsidR="00D00BD4" w:rsidRPr="00792EE2" w:rsidRDefault="00D00BD4" w:rsidP="007E77E7">
      <w:pPr>
        <w:spacing w:after="0"/>
        <w:rPr>
          <w:b/>
          <w:bCs/>
          <w:i/>
          <w:iCs/>
          <w:sz w:val="22"/>
          <w:szCs w:val="22"/>
          <w:lang w:val="en-GB"/>
        </w:rPr>
      </w:pPr>
      <w:r w:rsidRPr="00792EE2">
        <w:rPr>
          <w:b/>
          <w:bCs/>
          <w:i/>
          <w:iCs/>
          <w:sz w:val="22"/>
          <w:szCs w:val="22"/>
          <w:lang w:val="en-GB"/>
        </w:rPr>
        <w:t>Discussions with governments, regulators and online platforms</w:t>
      </w:r>
    </w:p>
    <w:p w14:paraId="4616335F" w14:textId="3C5BE5C0" w:rsidR="00D00BD4" w:rsidRPr="00B14158" w:rsidRDefault="00D00BD4" w:rsidP="007E77E7">
      <w:pPr>
        <w:spacing w:after="0"/>
        <w:rPr>
          <w:sz w:val="22"/>
          <w:szCs w:val="22"/>
          <w:lang w:val="en-GB"/>
        </w:rPr>
      </w:pPr>
      <w:r w:rsidRPr="00B14158">
        <w:rPr>
          <w:sz w:val="22"/>
          <w:szCs w:val="22"/>
          <w:lang w:val="en-GB"/>
        </w:rPr>
        <w:t xml:space="preserve">Goede Doelen Nederland, in collaboration with the European umbrella organisations European Fundraising Association (EFA) and </w:t>
      </w:r>
      <w:proofErr w:type="spellStart"/>
      <w:r w:rsidRPr="00B14158">
        <w:rPr>
          <w:sz w:val="22"/>
          <w:szCs w:val="22"/>
          <w:lang w:val="en-GB"/>
        </w:rPr>
        <w:t>Philea</w:t>
      </w:r>
      <w:proofErr w:type="spellEnd"/>
      <w:r w:rsidRPr="00B14158">
        <w:rPr>
          <w:sz w:val="22"/>
          <w:szCs w:val="22"/>
          <w:lang w:val="en-GB"/>
        </w:rPr>
        <w:t>, has been in discussion with the European Commission, national regulators, Meta, Google and other parties involved.</w:t>
      </w:r>
    </w:p>
    <w:p w14:paraId="45CC3D0C" w14:textId="1DC1206A" w:rsidR="00EF0BB9" w:rsidRPr="00B14158" w:rsidRDefault="00D00BD4" w:rsidP="007E77E7">
      <w:pPr>
        <w:spacing w:after="0"/>
        <w:rPr>
          <w:sz w:val="22"/>
          <w:szCs w:val="22"/>
          <w:lang w:val="en-GB"/>
        </w:rPr>
      </w:pPr>
      <w:r w:rsidRPr="00B14158">
        <w:rPr>
          <w:sz w:val="22"/>
          <w:szCs w:val="22"/>
          <w:lang w:val="en-GB"/>
        </w:rPr>
        <w:t xml:space="preserve">On </w:t>
      </w:r>
      <w:r w:rsidR="00C87910" w:rsidRPr="00B14158">
        <w:rPr>
          <w:sz w:val="22"/>
          <w:szCs w:val="22"/>
          <w:lang w:val="en-GB"/>
        </w:rPr>
        <w:t xml:space="preserve">the </w:t>
      </w:r>
      <w:r w:rsidRPr="00B14158">
        <w:rPr>
          <w:sz w:val="22"/>
          <w:szCs w:val="22"/>
          <w:lang w:val="en-GB"/>
        </w:rPr>
        <w:t>8</w:t>
      </w:r>
      <w:r w:rsidR="00C87910" w:rsidRPr="00B14158">
        <w:rPr>
          <w:sz w:val="22"/>
          <w:szCs w:val="22"/>
          <w:vertAlign w:val="superscript"/>
          <w:lang w:val="en-GB"/>
        </w:rPr>
        <w:t>th</w:t>
      </w:r>
      <w:r w:rsidR="00C87910" w:rsidRPr="00B14158">
        <w:rPr>
          <w:sz w:val="22"/>
          <w:szCs w:val="22"/>
          <w:lang w:val="en-GB"/>
        </w:rPr>
        <w:t xml:space="preserve"> of</w:t>
      </w:r>
      <w:r w:rsidRPr="00B14158">
        <w:rPr>
          <w:sz w:val="22"/>
          <w:szCs w:val="22"/>
          <w:lang w:val="en-GB"/>
        </w:rPr>
        <w:t xml:space="preserve"> October, the Guidelines to support the implementation of Regulation (EU) 2024/900 on the transparency and targeting of political advertising were published. In these guidelines, the European Commission has included two examples to clarify that awareness-raising or fundraising campaigns by charities for health research or vulnerable groups are not covered by the regulation. </w:t>
      </w:r>
    </w:p>
    <w:p w14:paraId="4FAD39C2" w14:textId="77777777" w:rsidR="007E77E7" w:rsidRPr="00B14158" w:rsidRDefault="007E77E7" w:rsidP="007E77E7">
      <w:pPr>
        <w:spacing w:after="0"/>
        <w:rPr>
          <w:sz w:val="22"/>
          <w:szCs w:val="22"/>
          <w:lang w:val="en-GB"/>
        </w:rPr>
      </w:pPr>
    </w:p>
    <w:p w14:paraId="64FAD7F8" w14:textId="7E48F35D" w:rsidR="00C96849" w:rsidRPr="00B14158" w:rsidRDefault="00D00BD4" w:rsidP="007E77E7">
      <w:pPr>
        <w:spacing w:after="0"/>
        <w:rPr>
          <w:sz w:val="22"/>
          <w:szCs w:val="22"/>
          <w:lang w:val="en-GB"/>
        </w:rPr>
      </w:pPr>
      <w:r w:rsidRPr="00B14158">
        <w:rPr>
          <w:sz w:val="22"/>
          <w:szCs w:val="22"/>
          <w:lang w:val="en-GB"/>
        </w:rPr>
        <w:t>This clarification by the European Commission – following our discussions – is a step in the right direction. In discussions with Meta, we raised the special position of charities and the negative consequences for the sector, but Meta, Google and other online platforms unfortunately remain committed to their ban.</w:t>
      </w:r>
    </w:p>
    <w:p w14:paraId="6F6859E5" w14:textId="783F8FD0" w:rsidR="00AD03BE" w:rsidRDefault="00AD03BE" w:rsidP="007E77E7">
      <w:pPr>
        <w:spacing w:after="0"/>
        <w:rPr>
          <w:lang w:val="en-GB"/>
        </w:rPr>
      </w:pPr>
    </w:p>
    <w:p w14:paraId="46FF9072" w14:textId="6FA824A6" w:rsidR="005B56E3" w:rsidRPr="00456F87" w:rsidRDefault="00456F87" w:rsidP="007E77E7">
      <w:pPr>
        <w:spacing w:after="0"/>
        <w:rPr>
          <w:b/>
          <w:bCs/>
          <w:sz w:val="32"/>
          <w:szCs w:val="32"/>
          <w:lang w:val="en-GB"/>
        </w:rPr>
      </w:pPr>
      <w:r w:rsidRPr="00456F87">
        <w:rPr>
          <w:b/>
          <w:bCs/>
          <w:sz w:val="32"/>
          <w:szCs w:val="32"/>
          <w:lang w:val="en-GB"/>
        </w:rPr>
        <w:t>Funding and fiscal arrangements</w:t>
      </w:r>
      <w:r w:rsidR="005B56E3" w:rsidRPr="00456F87">
        <w:rPr>
          <w:b/>
          <w:bCs/>
          <w:sz w:val="32"/>
          <w:szCs w:val="32"/>
          <w:lang w:val="en-GB"/>
        </w:rPr>
        <w:t xml:space="preserve"> under pressure</w:t>
      </w:r>
    </w:p>
    <w:p w14:paraId="26BDE2BB" w14:textId="29B30FF4" w:rsidR="00F90F53" w:rsidRDefault="00F90F53" w:rsidP="00F90F53">
      <w:pPr>
        <w:spacing w:after="0"/>
        <w:rPr>
          <w:sz w:val="22"/>
          <w:szCs w:val="22"/>
          <w:lang w:val="en-US"/>
        </w:rPr>
      </w:pPr>
      <w:r w:rsidRPr="005B56E3">
        <w:rPr>
          <w:sz w:val="22"/>
          <w:szCs w:val="22"/>
          <w:lang w:val="en-US"/>
        </w:rPr>
        <w:t>Although the Netherlands has a long tradition of an active and pluralistic civil society, the Netherlands Institute for Human Rights has identified a worrying accumulation of measures, legislative proposals, and political rhetoric that is putting civic space under pressure</w:t>
      </w:r>
      <w:r w:rsidR="00597E19" w:rsidRPr="005B56E3">
        <w:rPr>
          <w:rStyle w:val="Voetnootmarkering"/>
          <w:sz w:val="20"/>
          <w:szCs w:val="20"/>
        </w:rPr>
        <w:footnoteReference w:id="4"/>
      </w:r>
      <w:r w:rsidRPr="005B56E3">
        <w:rPr>
          <w:sz w:val="22"/>
          <w:szCs w:val="22"/>
          <w:lang w:val="en-US"/>
        </w:rPr>
        <w:t xml:space="preserve">. In addition, funding for development cooperation is being reduced, and fiscal arrangements for civil society </w:t>
      </w:r>
      <w:proofErr w:type="spellStart"/>
      <w:r w:rsidRPr="005B56E3">
        <w:rPr>
          <w:sz w:val="22"/>
          <w:szCs w:val="22"/>
          <w:lang w:val="en-US"/>
        </w:rPr>
        <w:t>organisations</w:t>
      </w:r>
      <w:proofErr w:type="spellEnd"/>
      <w:r w:rsidR="00060D0C" w:rsidRPr="005B56E3">
        <w:rPr>
          <w:sz w:val="22"/>
          <w:szCs w:val="22"/>
          <w:lang w:val="en-US"/>
        </w:rPr>
        <w:t xml:space="preserve"> </w:t>
      </w:r>
      <w:r w:rsidRPr="005B56E3">
        <w:rPr>
          <w:sz w:val="22"/>
          <w:szCs w:val="22"/>
          <w:lang w:val="en-US"/>
        </w:rPr>
        <w:t xml:space="preserve">are also under pressure. Sound financial conditions are essential for these </w:t>
      </w:r>
      <w:proofErr w:type="spellStart"/>
      <w:r w:rsidRPr="005B56E3">
        <w:rPr>
          <w:sz w:val="22"/>
          <w:szCs w:val="22"/>
          <w:lang w:val="en-US"/>
        </w:rPr>
        <w:t>organisations</w:t>
      </w:r>
      <w:proofErr w:type="spellEnd"/>
      <w:r w:rsidRPr="005B56E3">
        <w:rPr>
          <w:sz w:val="22"/>
          <w:szCs w:val="22"/>
          <w:lang w:val="en-US"/>
        </w:rPr>
        <w:t xml:space="preserve"> to be able to carry out their work.</w:t>
      </w:r>
    </w:p>
    <w:p w14:paraId="476AA9F5" w14:textId="77777777" w:rsidR="0068795C" w:rsidRDefault="0068795C" w:rsidP="00F90F53">
      <w:pPr>
        <w:spacing w:after="0"/>
        <w:rPr>
          <w:sz w:val="22"/>
          <w:szCs w:val="22"/>
          <w:lang w:val="en-US"/>
        </w:rPr>
      </w:pPr>
    </w:p>
    <w:p w14:paraId="6F8AD667" w14:textId="5A6BA319" w:rsidR="0068795C" w:rsidRPr="00D75F50" w:rsidRDefault="0068795C" w:rsidP="0068795C">
      <w:pPr>
        <w:spacing w:after="0"/>
        <w:rPr>
          <w:sz w:val="22"/>
          <w:szCs w:val="22"/>
          <w:lang w:val="en-US"/>
        </w:rPr>
      </w:pPr>
      <w:r w:rsidRPr="0068795C">
        <w:rPr>
          <w:sz w:val="22"/>
          <w:szCs w:val="22"/>
          <w:lang w:val="en-US"/>
        </w:rPr>
        <w:t xml:space="preserve">In a strong democracy, civil society must always be able to voice dissent, regardless of whether an </w:t>
      </w:r>
      <w:proofErr w:type="spellStart"/>
      <w:r w:rsidRPr="0068795C">
        <w:rPr>
          <w:sz w:val="22"/>
          <w:szCs w:val="22"/>
          <w:lang w:val="en-US"/>
        </w:rPr>
        <w:t>organisation</w:t>
      </w:r>
      <w:proofErr w:type="spellEnd"/>
      <w:r w:rsidRPr="0068795C">
        <w:rPr>
          <w:sz w:val="22"/>
          <w:szCs w:val="22"/>
          <w:lang w:val="en-US"/>
        </w:rPr>
        <w:t xml:space="preserve"> receives subsidies or benefits from fiscal advantages through </w:t>
      </w:r>
      <w:r w:rsidR="00D75F50">
        <w:rPr>
          <w:sz w:val="22"/>
          <w:szCs w:val="22"/>
          <w:lang w:val="en-US"/>
        </w:rPr>
        <w:t xml:space="preserve">their </w:t>
      </w:r>
      <w:r w:rsidRPr="0068795C">
        <w:rPr>
          <w:sz w:val="22"/>
          <w:szCs w:val="22"/>
          <w:lang w:val="en-US"/>
        </w:rPr>
        <w:t>ANBI</w:t>
      </w:r>
      <w:r w:rsidR="00D75F50">
        <w:rPr>
          <w:sz w:val="22"/>
          <w:szCs w:val="22"/>
          <w:lang w:val="en-US"/>
        </w:rPr>
        <w:t>-</w:t>
      </w:r>
      <w:r w:rsidRPr="0068795C">
        <w:rPr>
          <w:sz w:val="22"/>
          <w:szCs w:val="22"/>
          <w:lang w:val="en-US"/>
        </w:rPr>
        <w:t xml:space="preserve">status. </w:t>
      </w:r>
      <w:r w:rsidRPr="00D75F50">
        <w:rPr>
          <w:sz w:val="22"/>
          <w:szCs w:val="22"/>
          <w:lang w:val="en-US"/>
        </w:rPr>
        <w:t>That is the strength of a pluralistic democracy.</w:t>
      </w:r>
    </w:p>
    <w:p w14:paraId="407C8C5B" w14:textId="77777777" w:rsidR="0068795C" w:rsidRPr="005B56E3" w:rsidRDefault="0068795C" w:rsidP="00F90F53">
      <w:pPr>
        <w:spacing w:after="0"/>
        <w:rPr>
          <w:sz w:val="22"/>
          <w:szCs w:val="22"/>
          <w:lang w:val="en-US"/>
        </w:rPr>
      </w:pPr>
    </w:p>
    <w:p w14:paraId="76C1E10B" w14:textId="77777777" w:rsidR="00F90F53" w:rsidRPr="005B56E3" w:rsidRDefault="00F90F53" w:rsidP="007E77E7">
      <w:pPr>
        <w:spacing w:after="0"/>
        <w:rPr>
          <w:sz w:val="22"/>
          <w:szCs w:val="22"/>
          <w:lang w:val="en-US"/>
        </w:rPr>
      </w:pPr>
    </w:p>
    <w:p w14:paraId="58D0519A" w14:textId="77777777" w:rsidR="00D00BD4" w:rsidRPr="00D83CC9" w:rsidRDefault="00D00BD4" w:rsidP="007E77E7">
      <w:pPr>
        <w:spacing w:after="0"/>
        <w:rPr>
          <w:lang w:val="en-GB"/>
        </w:rPr>
      </w:pPr>
    </w:p>
    <w:sectPr w:rsidR="00D00BD4" w:rsidRPr="00D83CC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F1FC7" w14:textId="77777777" w:rsidR="00702688" w:rsidRDefault="00702688" w:rsidP="00762CEB">
      <w:pPr>
        <w:spacing w:after="0" w:line="240" w:lineRule="auto"/>
      </w:pPr>
      <w:r>
        <w:separator/>
      </w:r>
    </w:p>
  </w:endnote>
  <w:endnote w:type="continuationSeparator" w:id="0">
    <w:p w14:paraId="2C8C4B33" w14:textId="77777777" w:rsidR="00702688" w:rsidRDefault="00702688" w:rsidP="00762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F8145" w14:textId="77777777" w:rsidR="00702688" w:rsidRDefault="00702688" w:rsidP="00762CEB">
      <w:pPr>
        <w:spacing w:after="0" w:line="240" w:lineRule="auto"/>
      </w:pPr>
      <w:r>
        <w:separator/>
      </w:r>
    </w:p>
  </w:footnote>
  <w:footnote w:type="continuationSeparator" w:id="0">
    <w:p w14:paraId="0F06D8F9" w14:textId="77777777" w:rsidR="00702688" w:rsidRDefault="00702688" w:rsidP="00762CEB">
      <w:pPr>
        <w:spacing w:after="0" w:line="240" w:lineRule="auto"/>
      </w:pPr>
      <w:r>
        <w:continuationSeparator/>
      </w:r>
    </w:p>
  </w:footnote>
  <w:footnote w:id="1">
    <w:p w14:paraId="1A631C16" w14:textId="45DB9D84" w:rsidR="00CB0F3F" w:rsidRDefault="00CB0F3F">
      <w:pPr>
        <w:pStyle w:val="Voetnoottekst"/>
      </w:pPr>
      <w:r>
        <w:rPr>
          <w:rStyle w:val="Voetnootmarkering"/>
        </w:rPr>
        <w:footnoteRef/>
      </w:r>
      <w:r>
        <w:t xml:space="preserve"> </w:t>
      </w:r>
      <w:hyperlink r:id="rId1" w:tgtFrame="_blank" w:history="1">
        <w:r w:rsidRPr="00BC1F8A">
          <w:rPr>
            <w:rStyle w:val="Hyperlink"/>
            <w:sz w:val="22"/>
            <w:szCs w:val="22"/>
          </w:rPr>
          <w:t>SGP- amendement Flach</w:t>
        </w:r>
      </w:hyperlink>
    </w:p>
  </w:footnote>
  <w:footnote w:id="2">
    <w:p w14:paraId="35B970F1" w14:textId="7A9CFBD4" w:rsidR="00CB0F3F" w:rsidRDefault="00CB0F3F">
      <w:pPr>
        <w:pStyle w:val="Voetnoottekst"/>
      </w:pPr>
      <w:r>
        <w:rPr>
          <w:rStyle w:val="Voetnootmarkering"/>
        </w:rPr>
        <w:footnoteRef/>
      </w:r>
      <w:r>
        <w:t xml:space="preserve"> </w:t>
      </w:r>
      <w:hyperlink r:id="rId2" w:tgtFrame="_blank" w:history="1">
        <w:r w:rsidRPr="00BC1F8A">
          <w:rPr>
            <w:rStyle w:val="Hyperlink"/>
            <w:sz w:val="22"/>
            <w:szCs w:val="22"/>
          </w:rPr>
          <w:t>NSC-Kamerlid Zeedijk</w:t>
        </w:r>
      </w:hyperlink>
    </w:p>
  </w:footnote>
  <w:footnote w:id="3">
    <w:p w14:paraId="1D7C0BD8" w14:textId="31F55196" w:rsidR="00432B91" w:rsidRDefault="00432B91">
      <w:pPr>
        <w:pStyle w:val="Voetnoottekst"/>
      </w:pPr>
      <w:r>
        <w:rPr>
          <w:rStyle w:val="Voetnootmarkering"/>
        </w:rPr>
        <w:footnoteRef/>
      </w:r>
      <w:r>
        <w:t xml:space="preserve"> </w:t>
      </w:r>
      <w:hyperlink r:id="rId3" w:tgtFrame="_blank" w:history="1">
        <w:r w:rsidRPr="00BC1F8A">
          <w:rPr>
            <w:rStyle w:val="Hyperlink"/>
            <w:sz w:val="22"/>
            <w:szCs w:val="22"/>
          </w:rPr>
          <w:t>NVB-standaard voor de non-profit sector d</w:t>
        </w:r>
      </w:hyperlink>
    </w:p>
  </w:footnote>
  <w:footnote w:id="4">
    <w:p w14:paraId="5577C67A" w14:textId="77777777" w:rsidR="00597E19" w:rsidRDefault="00597E19" w:rsidP="00597E19">
      <w:pPr>
        <w:pStyle w:val="Voetnoottekst"/>
      </w:pPr>
      <w:r>
        <w:rPr>
          <w:rStyle w:val="Voetnootmarkering"/>
        </w:rPr>
        <w:footnoteRef/>
      </w:r>
      <w:r>
        <w:t xml:space="preserve"> </w:t>
      </w:r>
      <w:r w:rsidRPr="00605FBF">
        <w:rPr>
          <w:i/>
          <w:iCs/>
        </w:rPr>
        <w:t>Tegenspraak onder druk</w:t>
      </w:r>
      <w:r>
        <w:t xml:space="preserve">, 2025, College voor de Rechten van de Mens. </w:t>
      </w:r>
      <w:hyperlink r:id="rId4" w:history="1">
        <w:r w:rsidRPr="00490CED">
          <w:rPr>
            <w:rStyle w:val="Hyperlink"/>
          </w:rPr>
          <w:t>Jaarrapportage 2024-2025: Tegenspraak onder druk | College voor de Rechten van de Mens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676DDC"/>
    <w:multiLevelType w:val="hybridMultilevel"/>
    <w:tmpl w:val="D0A24B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79508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F26"/>
    <w:rsid w:val="0001021A"/>
    <w:rsid w:val="000359C0"/>
    <w:rsid w:val="000468B4"/>
    <w:rsid w:val="00060D0C"/>
    <w:rsid w:val="0007384D"/>
    <w:rsid w:val="000A3482"/>
    <w:rsid w:val="000A3BFB"/>
    <w:rsid w:val="000A5744"/>
    <w:rsid w:val="000B5EB8"/>
    <w:rsid w:val="000E6F22"/>
    <w:rsid w:val="000F0148"/>
    <w:rsid w:val="000F2EB6"/>
    <w:rsid w:val="001168DE"/>
    <w:rsid w:val="00122BC9"/>
    <w:rsid w:val="00146BD4"/>
    <w:rsid w:val="00185A48"/>
    <w:rsid w:val="00283170"/>
    <w:rsid w:val="002934E9"/>
    <w:rsid w:val="00295C01"/>
    <w:rsid w:val="002D7519"/>
    <w:rsid w:val="00374247"/>
    <w:rsid w:val="003C2814"/>
    <w:rsid w:val="003E15AE"/>
    <w:rsid w:val="003E2E94"/>
    <w:rsid w:val="004069AC"/>
    <w:rsid w:val="004219F6"/>
    <w:rsid w:val="0042638C"/>
    <w:rsid w:val="00431E24"/>
    <w:rsid w:val="00432B91"/>
    <w:rsid w:val="00455331"/>
    <w:rsid w:val="00456F87"/>
    <w:rsid w:val="004607C2"/>
    <w:rsid w:val="004653D4"/>
    <w:rsid w:val="00485FFB"/>
    <w:rsid w:val="00490591"/>
    <w:rsid w:val="004B3952"/>
    <w:rsid w:val="004D091E"/>
    <w:rsid w:val="0050537F"/>
    <w:rsid w:val="0051443B"/>
    <w:rsid w:val="005207B1"/>
    <w:rsid w:val="0052106A"/>
    <w:rsid w:val="005232D6"/>
    <w:rsid w:val="0053407D"/>
    <w:rsid w:val="00573DCD"/>
    <w:rsid w:val="00597E19"/>
    <w:rsid w:val="005A63AE"/>
    <w:rsid w:val="005B0B53"/>
    <w:rsid w:val="005B2244"/>
    <w:rsid w:val="005B23FD"/>
    <w:rsid w:val="005B56E3"/>
    <w:rsid w:val="005C2DC3"/>
    <w:rsid w:val="005E737B"/>
    <w:rsid w:val="0064329A"/>
    <w:rsid w:val="00683DCF"/>
    <w:rsid w:val="0068795C"/>
    <w:rsid w:val="00697504"/>
    <w:rsid w:val="006C323F"/>
    <w:rsid w:val="006C4188"/>
    <w:rsid w:val="006C5157"/>
    <w:rsid w:val="006D1233"/>
    <w:rsid w:val="00701335"/>
    <w:rsid w:val="00702688"/>
    <w:rsid w:val="00711876"/>
    <w:rsid w:val="007131E2"/>
    <w:rsid w:val="00745295"/>
    <w:rsid w:val="00746D3A"/>
    <w:rsid w:val="00754223"/>
    <w:rsid w:val="00762CEB"/>
    <w:rsid w:val="00781A70"/>
    <w:rsid w:val="007908B7"/>
    <w:rsid w:val="00792EE2"/>
    <w:rsid w:val="007A6C53"/>
    <w:rsid w:val="007D752B"/>
    <w:rsid w:val="007E77E7"/>
    <w:rsid w:val="007F10CA"/>
    <w:rsid w:val="00832953"/>
    <w:rsid w:val="00844B2C"/>
    <w:rsid w:val="00844E6E"/>
    <w:rsid w:val="00874D6A"/>
    <w:rsid w:val="00876D31"/>
    <w:rsid w:val="0089752F"/>
    <w:rsid w:val="008E6F87"/>
    <w:rsid w:val="009422B0"/>
    <w:rsid w:val="009552A3"/>
    <w:rsid w:val="009A2349"/>
    <w:rsid w:val="009D1ADA"/>
    <w:rsid w:val="009E1623"/>
    <w:rsid w:val="00A329BE"/>
    <w:rsid w:val="00A420CB"/>
    <w:rsid w:val="00A543CE"/>
    <w:rsid w:val="00A55337"/>
    <w:rsid w:val="00A77112"/>
    <w:rsid w:val="00A94F17"/>
    <w:rsid w:val="00AC6FF5"/>
    <w:rsid w:val="00AD03BE"/>
    <w:rsid w:val="00B070EA"/>
    <w:rsid w:val="00B14158"/>
    <w:rsid w:val="00B27F26"/>
    <w:rsid w:val="00B83A2D"/>
    <w:rsid w:val="00BB6017"/>
    <w:rsid w:val="00BD3F3A"/>
    <w:rsid w:val="00BE3CA9"/>
    <w:rsid w:val="00C1418E"/>
    <w:rsid w:val="00C42C79"/>
    <w:rsid w:val="00C46E48"/>
    <w:rsid w:val="00C51DB3"/>
    <w:rsid w:val="00C72345"/>
    <w:rsid w:val="00C745BA"/>
    <w:rsid w:val="00C87910"/>
    <w:rsid w:val="00C946AA"/>
    <w:rsid w:val="00C96849"/>
    <w:rsid w:val="00CB0F3F"/>
    <w:rsid w:val="00D00BD4"/>
    <w:rsid w:val="00D12695"/>
    <w:rsid w:val="00D75F50"/>
    <w:rsid w:val="00D83CC9"/>
    <w:rsid w:val="00DA31FB"/>
    <w:rsid w:val="00DC1374"/>
    <w:rsid w:val="00DD12FB"/>
    <w:rsid w:val="00DE2F56"/>
    <w:rsid w:val="00E255AF"/>
    <w:rsid w:val="00E56E03"/>
    <w:rsid w:val="00E87990"/>
    <w:rsid w:val="00EF0BB9"/>
    <w:rsid w:val="00EF3F74"/>
    <w:rsid w:val="00F14ED3"/>
    <w:rsid w:val="00F90F53"/>
    <w:rsid w:val="00FA592A"/>
    <w:rsid w:val="00FA7AD6"/>
    <w:rsid w:val="00FD2158"/>
    <w:rsid w:val="00FE35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0DCF8"/>
  <w15:chartTrackingRefBased/>
  <w15:docId w15:val="{F1B48B7A-0DB0-4BD3-99CB-A1743E4A3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27F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B27F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B27F2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B27F2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B27F2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B27F2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B27F2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B27F2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B27F2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27F2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B27F2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B27F2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B27F2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B27F2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B27F2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27F2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27F2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27F26"/>
    <w:rPr>
      <w:rFonts w:eastAsiaTheme="majorEastAsia" w:cstheme="majorBidi"/>
      <w:color w:val="272727" w:themeColor="text1" w:themeTint="D8"/>
    </w:rPr>
  </w:style>
  <w:style w:type="paragraph" w:styleId="Titel">
    <w:name w:val="Title"/>
    <w:basedOn w:val="Standaard"/>
    <w:next w:val="Standaard"/>
    <w:link w:val="TitelChar"/>
    <w:uiPriority w:val="10"/>
    <w:qFormat/>
    <w:rsid w:val="00B27F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27F2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27F2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27F2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B27F2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B27F26"/>
    <w:rPr>
      <w:i/>
      <w:iCs/>
      <w:color w:val="404040" w:themeColor="text1" w:themeTint="BF"/>
    </w:rPr>
  </w:style>
  <w:style w:type="paragraph" w:styleId="Lijstalinea">
    <w:name w:val="List Paragraph"/>
    <w:basedOn w:val="Standaard"/>
    <w:uiPriority w:val="34"/>
    <w:qFormat/>
    <w:rsid w:val="00B27F26"/>
    <w:pPr>
      <w:ind w:left="720"/>
      <w:contextualSpacing/>
    </w:pPr>
  </w:style>
  <w:style w:type="character" w:styleId="Intensievebenadrukking">
    <w:name w:val="Intense Emphasis"/>
    <w:basedOn w:val="Standaardalinea-lettertype"/>
    <w:uiPriority w:val="21"/>
    <w:qFormat/>
    <w:rsid w:val="00B27F26"/>
    <w:rPr>
      <w:i/>
      <w:iCs/>
      <w:color w:val="0F4761" w:themeColor="accent1" w:themeShade="BF"/>
    </w:rPr>
  </w:style>
  <w:style w:type="paragraph" w:styleId="Duidelijkcitaat">
    <w:name w:val="Intense Quote"/>
    <w:basedOn w:val="Standaard"/>
    <w:next w:val="Standaard"/>
    <w:link w:val="DuidelijkcitaatChar"/>
    <w:uiPriority w:val="30"/>
    <w:qFormat/>
    <w:rsid w:val="00B27F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B27F26"/>
    <w:rPr>
      <w:i/>
      <w:iCs/>
      <w:color w:val="0F4761" w:themeColor="accent1" w:themeShade="BF"/>
    </w:rPr>
  </w:style>
  <w:style w:type="character" w:styleId="Intensieveverwijzing">
    <w:name w:val="Intense Reference"/>
    <w:basedOn w:val="Standaardalinea-lettertype"/>
    <w:uiPriority w:val="32"/>
    <w:qFormat/>
    <w:rsid w:val="00B27F26"/>
    <w:rPr>
      <w:b/>
      <w:bCs/>
      <w:smallCaps/>
      <w:color w:val="0F4761" w:themeColor="accent1" w:themeShade="BF"/>
      <w:spacing w:val="5"/>
    </w:rPr>
  </w:style>
  <w:style w:type="paragraph" w:customStyle="1" w:styleId="paragraph">
    <w:name w:val="paragraph"/>
    <w:basedOn w:val="Standaard"/>
    <w:rsid w:val="004069AC"/>
    <w:pPr>
      <w:spacing w:before="100" w:beforeAutospacing="1" w:after="100" w:afterAutospacing="1" w:line="240" w:lineRule="auto"/>
    </w:pPr>
    <w:rPr>
      <w:rFonts w:ascii="Times New Roman" w:eastAsia="Times New Roman" w:hAnsi="Times New Roman" w:cs="Times New Roman"/>
      <w:kern w:val="0"/>
      <w:lang w:eastAsia="nl-NL"/>
      <w14:ligatures w14:val="none"/>
    </w:rPr>
  </w:style>
  <w:style w:type="character" w:customStyle="1" w:styleId="eop">
    <w:name w:val="eop"/>
    <w:basedOn w:val="Standaardalinea-lettertype"/>
    <w:rsid w:val="004069AC"/>
  </w:style>
  <w:style w:type="character" w:styleId="Hyperlink">
    <w:name w:val="Hyperlink"/>
    <w:basedOn w:val="Standaardalinea-lettertype"/>
    <w:uiPriority w:val="99"/>
    <w:unhideWhenUsed/>
    <w:rsid w:val="005B0B53"/>
    <w:rPr>
      <w:color w:val="467886" w:themeColor="hyperlink"/>
      <w:u w:val="single"/>
    </w:rPr>
  </w:style>
  <w:style w:type="paragraph" w:styleId="Eindnoottekst">
    <w:name w:val="endnote text"/>
    <w:basedOn w:val="Standaard"/>
    <w:link w:val="EindnoottekstChar"/>
    <w:uiPriority w:val="99"/>
    <w:semiHidden/>
    <w:unhideWhenUsed/>
    <w:rsid w:val="00762CEB"/>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762CEB"/>
    <w:rPr>
      <w:sz w:val="20"/>
      <w:szCs w:val="20"/>
    </w:rPr>
  </w:style>
  <w:style w:type="character" w:styleId="Eindnootmarkering">
    <w:name w:val="endnote reference"/>
    <w:basedOn w:val="Standaardalinea-lettertype"/>
    <w:uiPriority w:val="99"/>
    <w:semiHidden/>
    <w:unhideWhenUsed/>
    <w:rsid w:val="00762CEB"/>
    <w:rPr>
      <w:vertAlign w:val="superscript"/>
    </w:rPr>
  </w:style>
  <w:style w:type="character" w:styleId="Verwijzingopmerking">
    <w:name w:val="annotation reference"/>
    <w:basedOn w:val="Standaardalinea-lettertype"/>
    <w:uiPriority w:val="99"/>
    <w:semiHidden/>
    <w:unhideWhenUsed/>
    <w:rsid w:val="003E2E94"/>
    <w:rPr>
      <w:sz w:val="16"/>
      <w:szCs w:val="16"/>
    </w:rPr>
  </w:style>
  <w:style w:type="paragraph" w:styleId="Tekstopmerking">
    <w:name w:val="annotation text"/>
    <w:basedOn w:val="Standaard"/>
    <w:link w:val="TekstopmerkingChar"/>
    <w:uiPriority w:val="99"/>
    <w:unhideWhenUsed/>
    <w:rsid w:val="003E2E94"/>
    <w:pPr>
      <w:spacing w:line="240" w:lineRule="auto"/>
    </w:pPr>
    <w:rPr>
      <w:sz w:val="20"/>
      <w:szCs w:val="20"/>
    </w:rPr>
  </w:style>
  <w:style w:type="character" w:customStyle="1" w:styleId="TekstopmerkingChar">
    <w:name w:val="Tekst opmerking Char"/>
    <w:basedOn w:val="Standaardalinea-lettertype"/>
    <w:link w:val="Tekstopmerking"/>
    <w:uiPriority w:val="99"/>
    <w:rsid w:val="003E2E94"/>
    <w:rPr>
      <w:sz w:val="20"/>
      <w:szCs w:val="20"/>
    </w:rPr>
  </w:style>
  <w:style w:type="paragraph" w:styleId="Onderwerpvanopmerking">
    <w:name w:val="annotation subject"/>
    <w:basedOn w:val="Tekstopmerking"/>
    <w:next w:val="Tekstopmerking"/>
    <w:link w:val="OnderwerpvanopmerkingChar"/>
    <w:uiPriority w:val="99"/>
    <w:semiHidden/>
    <w:unhideWhenUsed/>
    <w:rsid w:val="003E2E94"/>
    <w:rPr>
      <w:b/>
      <w:bCs/>
    </w:rPr>
  </w:style>
  <w:style w:type="character" w:customStyle="1" w:styleId="OnderwerpvanopmerkingChar">
    <w:name w:val="Onderwerp van opmerking Char"/>
    <w:basedOn w:val="TekstopmerkingChar"/>
    <w:link w:val="Onderwerpvanopmerking"/>
    <w:uiPriority w:val="99"/>
    <w:semiHidden/>
    <w:rsid w:val="003E2E94"/>
    <w:rPr>
      <w:b/>
      <w:bCs/>
      <w:sz w:val="20"/>
      <w:szCs w:val="20"/>
    </w:rPr>
  </w:style>
  <w:style w:type="paragraph" w:styleId="Revisie">
    <w:name w:val="Revision"/>
    <w:hidden/>
    <w:uiPriority w:val="99"/>
    <w:semiHidden/>
    <w:rsid w:val="009552A3"/>
    <w:pPr>
      <w:spacing w:after="0" w:line="240" w:lineRule="auto"/>
    </w:pPr>
  </w:style>
  <w:style w:type="table" w:styleId="Tabelraster">
    <w:name w:val="Table Grid"/>
    <w:basedOn w:val="Standaardtabel"/>
    <w:uiPriority w:val="39"/>
    <w:rsid w:val="00B83A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Heading">
    <w:name w:val="BoldHeading"/>
    <w:rsid w:val="00B83A2D"/>
    <w:pPr>
      <w:spacing w:line="259" w:lineRule="auto"/>
    </w:pPr>
    <w:rPr>
      <w:b/>
      <w:szCs w:val="22"/>
    </w:rPr>
  </w:style>
  <w:style w:type="paragraph" w:styleId="Voetnoottekst">
    <w:name w:val="footnote text"/>
    <w:basedOn w:val="Standaard"/>
    <w:link w:val="VoetnoottekstChar"/>
    <w:uiPriority w:val="99"/>
    <w:semiHidden/>
    <w:unhideWhenUsed/>
    <w:rsid w:val="00597E19"/>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597E19"/>
    <w:rPr>
      <w:sz w:val="20"/>
      <w:szCs w:val="20"/>
    </w:rPr>
  </w:style>
  <w:style w:type="character" w:styleId="Voetnootmarkering">
    <w:name w:val="footnote reference"/>
    <w:basedOn w:val="Standaardalinea-lettertype"/>
    <w:uiPriority w:val="99"/>
    <w:semiHidden/>
    <w:unhideWhenUsed/>
    <w:rsid w:val="00597E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rc.nl/nieuws/2025/10/02/meta-wekt-verwarring-en-woede-bij-overheid-en-ngos-met-advertentieverbod-voor-maatschappelijke-kwesties-a490828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tweedekamer.nl/kamerstukken/brieven_regering/detail?id=2024Z05690&amp;did=2024D13180" TargetMode="External"/><Relationship Id="rId2" Type="http://schemas.openxmlformats.org/officeDocument/2006/relationships/hyperlink" Target="https://www.tweedekamer.nl/kamerstukken/moties/detail?id=2024Z10748&amp;did=2024D25493" TargetMode="External"/><Relationship Id="rId1" Type="http://schemas.openxmlformats.org/officeDocument/2006/relationships/hyperlink" Target="https://www.tweedekamer.nl/kamerstukken/amendementen/detail?id=2024Z08540&amp;did=2024D20008" TargetMode="External"/><Relationship Id="rId4" Type="http://schemas.openxmlformats.org/officeDocument/2006/relationships/hyperlink" Target="https://publicaties.mensenrechten.nl/publicatie/24d329a2-cdb0-4f6e-9429-fb7ef9cf5e38"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4E852-35BD-4D1C-AF9A-988F81A26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3076</Words>
  <Characters>16919</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Yvette Kleekamp</dc:creator>
  <cp:keywords/>
  <dc:description/>
  <cp:lastModifiedBy>Yvette Kleekamp</cp:lastModifiedBy>
  <cp:revision>2</cp:revision>
  <cp:lastPrinted>2026-01-20T09:35:00Z</cp:lastPrinted>
  <dcterms:created xsi:type="dcterms:W3CDTF">2026-01-20T13:44:00Z</dcterms:created>
  <dcterms:modified xsi:type="dcterms:W3CDTF">2026-01-20T13:44:00Z</dcterms:modified>
</cp:coreProperties>
</file>